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rPr>
          <w:rFonts w:ascii="Arial" w:cs="Arial" w:eastAsia="Arial" w:hAnsi="Arial"/>
          <w:b/>
          <w:bCs/>
          <w:sz w:val="40"/>
          <w:szCs w:val="40"/>
        </w:rPr>
        <w:t xml:space="preserve">The Fifty Gates of Binah — A Deep Study Guide</w:t>
      </w:r>
    </w:p>
    <w:p>
      <w:pPr>
        <w:spacing w:after="220"/>
        <w:jc w:val="center"/>
      </w:pPr>
      <w:r>
        <w:rPr>
          <w:rFonts w:ascii="Arial" w:cs="Arial" w:eastAsia="Arial" w:hAnsi="Arial"/>
          <w:i/>
          <w:iCs/>
          <w:sz w:val="24"/>
          <w:szCs w:val="24"/>
        </w:rPr>
        <w:t xml:space="preserve">Track A (halakhic) and Track B (Kabbalistic) · Gate by Gate</w:t>
      </w:r>
    </w:p>
    <w:p>
      <w:pPr>
        <w:pStyle w:val="Heading1"/>
        <w:spacing w:after="140" w:before="280"/>
      </w:pPr>
      <w:r>
        <w:rPr>
          <w:rFonts w:ascii="Arial" w:cs="Arial" w:eastAsia="Arial" w:hAnsi="Arial"/>
          <w:b/>
          <w:bCs/>
          <w:sz w:val="32"/>
          <w:szCs w:val="32"/>
        </w:rPr>
        <w:t xml:space="preserve">Introduction — Two "Sha’arei Binah," Not to Be Confused</w:t>
      </w:r>
    </w:p>
    <w:p>
      <w:pPr>
        <w:spacing w:after="120" w:line="288"/>
        <w:jc w:val="both"/>
      </w:pPr>
      <w:r>
        <w:rPr>
          <w:rFonts w:ascii="Arial" w:cs="Arial" w:eastAsia="Arial" w:hAnsi="Arial"/>
          <w:b w:val="false"/>
          <w:bCs w:val="false"/>
          <w:sz w:val="22"/>
          <w:szCs w:val="22"/>
          <w:rtl w:val="false"/>
        </w:rPr>
        <w:t xml:space="preserve">Your request concerns two completely different things, both called "Sha’arei Binah" (שערי בינה). This guide treats both, in two parallel and clearly separate tracks:</w:t>
      </w:r>
    </w:p>
    <w:p>
      <w:pPr>
        <w:pStyle w:val="ListParagraph"/>
        <w:numPr>
          <w:ilvl w:val="0"/>
          <w:numId w:val="1"/>
        </w:numPr>
        <w:spacing w:after="60" w:line="276"/>
        <w:jc w:val="left"/>
      </w:pPr>
      <w:r>
        <w:rPr>
          <w:rFonts w:ascii="Arial" w:cs="Arial" w:eastAsia="Arial" w:hAnsi="Arial"/>
          <w:b/>
          <w:bCs/>
          <w:sz w:val="22"/>
          <w:szCs w:val="22"/>
          <w:rtl w:val="false"/>
        </w:rPr>
        <w:t xml:space="preserve">Track A — the halakhic Sefer Sha’arei Binah: </w:t>
      </w:r>
      <w:r>
        <w:rPr>
          <w:rFonts w:ascii="Arial" w:cs="Arial" w:eastAsia="Arial" w:hAnsi="Arial"/>
          <w:b w:val="false"/>
          <w:bCs w:val="false"/>
          <w:sz w:val="22"/>
          <w:szCs w:val="22"/>
          <w:rtl w:val="false"/>
        </w:rPr>
        <w:t xml:space="preserve">the commentary of Rabbi Yoav b. Yirmiyah Rosenbaum of Mattersdorf (Vienna 1792, 182 pp.) on Sefer Sha’arei Shevuot, attributed to the Rif — and in modern scholarship to Rabbi Isaac b. Reuven al-Bargeloni of Barcelona (11th c.). It deals with the laws of oaths in monetary law (Choshen Mishpat) and is built of twenty gates (Gate 20 subdivided into thirty dinim). This is the book in your files — so here I cite book and page.</w:t>
      </w:r>
    </w:p>
    <w:p>
      <w:pPr>
        <w:pStyle w:val="ListParagraph"/>
        <w:numPr>
          <w:ilvl w:val="0"/>
          <w:numId w:val="1"/>
        </w:numPr>
        <w:spacing w:after="60" w:line="276"/>
        <w:jc w:val="left"/>
      </w:pPr>
      <w:r>
        <w:rPr>
          <w:rFonts w:ascii="Arial" w:cs="Arial" w:eastAsia="Arial" w:hAnsi="Arial"/>
          <w:b/>
          <w:bCs/>
          <w:sz w:val="22"/>
          <w:szCs w:val="22"/>
          <w:rtl w:val="false"/>
        </w:rPr>
        <w:t xml:space="preserve">Track B — the Kabbalistic Fifty Gates of Binah: </w:t>
      </w:r>
      <w:r>
        <w:rPr>
          <w:rFonts w:ascii="Arial" w:cs="Arial" w:eastAsia="Arial" w:hAnsi="Arial"/>
          <w:b w:val="false"/>
          <w:bCs w:val="false"/>
          <w:sz w:val="22"/>
          <w:szCs w:val="22"/>
          <w:rtl w:val="false"/>
        </w:rPr>
        <w:t xml:space="preserve">the mystical fifty gates of understanding (Rosh Hashanah 21b, Sefer Yetzirah, Zohar, Ramban, the Arizal, Ramchal). This topic is not in your files, so here I cite the classical Kabbalistic sources directly.</w:t>
      </w:r>
    </w:p>
    <w:p>
      <w:pPr>
        <w:spacing w:after="120" w:line="288"/>
        <w:jc w:val="both"/>
      </w:pPr>
      <w:r>
        <w:rPr>
          <w:rFonts w:ascii="Arial" w:cs="Arial" w:eastAsia="Arial" w:hAnsi="Arial"/>
          <w:b/>
          <w:bCs/>
          <w:sz w:val="22"/>
          <w:szCs w:val="22"/>
          <w:rtl w:val="false"/>
        </w:rPr>
        <w:t xml:space="preserve">Important note: </w:t>
      </w:r>
      <w:r>
        <w:rPr>
          <w:rFonts w:ascii="Arial" w:cs="Arial" w:eastAsia="Arial" w:hAnsi="Arial"/>
          <w:b w:val="false"/>
          <w:bCs w:val="false"/>
          <w:sz w:val="22"/>
          <w:szCs w:val="22"/>
          <w:rtl w:val="false"/>
        </w:rPr>
        <w:t xml:space="preserve">the title "Sha’arei Binah" on the halakhic book is a scholarly pun — the "Binah" (insight) is the author’s commentary, which opens the older and difficult "Sha’arei Shevuot." It has no connection to the Kabbalistic Fifty Gates.</w:t>
      </w:r>
    </w:p>
    <w:p>
      <w:pPr>
        <w:spacing w:after="120" w:line="288"/>
        <w:jc w:val="both"/>
      </w:pPr>
      <w:r>
        <w:rPr>
          <w:rFonts w:ascii="Arial" w:cs="Arial" w:eastAsia="Arial" w:hAnsi="Arial"/>
          <w:b/>
          <w:bCs/>
          <w:sz w:val="22"/>
          <w:szCs w:val="22"/>
          <w:rtl w:val="false"/>
        </w:rPr>
        <w:t xml:space="preserve">Technical note: </w:t>
      </w:r>
      <w:r>
        <w:rPr>
          <w:rFonts w:ascii="Arial" w:cs="Arial" w:eastAsia="Arial" w:hAnsi="Arial"/>
          <w:b w:val="false"/>
          <w:bCs w:val="false"/>
          <w:sz w:val="22"/>
          <w:szCs w:val="22"/>
          <w:rtl w:val="false"/>
        </w:rPr>
        <w:t xml:space="preserve">your PDF is an image-only scan (no text layer), so in Track A I rely on the detailed page-by-page summary you provided ("שערי_בינה_סיכום.docx") and the halakhic sources it points to — not on OCR of the scan. Page numbers refer to Hebrewbooks_org_43379.pdf.</w:t>
      </w:r>
    </w:p>
    <w:p>
      <w:pPr>
        <w:pStyle w:val="Heading2"/>
        <w:spacing w:after="110" w:before="220"/>
      </w:pPr>
      <w:r>
        <w:rPr>
          <w:rFonts w:ascii="Arial" w:cs="Arial" w:eastAsia="Arial" w:hAnsi="Arial"/>
          <w:b/>
          <w:bCs/>
          <w:sz w:val="26"/>
          <w:szCs w:val="26"/>
        </w:rPr>
        <w:t xml:space="preserve">Legend of source tags</w:t>
      </w:r>
    </w:p>
    <w:p>
      <w:pPr>
        <w:pStyle w:val="ListParagraph"/>
        <w:numPr>
          <w:ilvl w:val="0"/>
          <w:numId w:val="1"/>
        </w:numPr>
        <w:spacing w:after="60" w:line="276"/>
        <w:jc w:val="left"/>
      </w:pPr>
      <w:r>
        <w:rPr>
          <w:rFonts w:ascii="Arial" w:cs="Arial" w:eastAsia="Arial" w:hAnsi="Arial"/>
          <w:b/>
          <w:bCs/>
          <w:sz w:val="22"/>
          <w:szCs w:val="22"/>
          <w:rtl w:val="false"/>
        </w:rPr>
        <w:t xml:space="preserve">【Source】 — </w:t>
      </w:r>
      <w:r>
        <w:rPr>
          <w:rFonts w:ascii="Arial" w:cs="Arial" w:eastAsia="Arial" w:hAnsi="Arial"/>
          <w:b w:val="false"/>
          <w:bCs w:val="false"/>
          <w:sz w:val="22"/>
          <w:szCs w:val="22"/>
          <w:rtl w:val="false"/>
        </w:rPr>
        <w:t xml:space="preserve">explicit in a classical source (Tanakh, Talmud, Midrash, Sefer Yetzirah, Zohar, Rif, Rambam...).</w:t>
      </w:r>
    </w:p>
    <w:p>
      <w:pPr>
        <w:pStyle w:val="ListParagraph"/>
        <w:numPr>
          <w:ilvl w:val="0"/>
          <w:numId w:val="1"/>
        </w:numPr>
        <w:spacing w:after="60" w:line="276"/>
        <w:jc w:val="left"/>
      </w:pPr>
      <w:r>
        <w:rPr>
          <w:rFonts w:ascii="Arial" w:cs="Arial" w:eastAsia="Arial" w:hAnsi="Arial"/>
          <w:b/>
          <w:bCs/>
          <w:sz w:val="22"/>
          <w:szCs w:val="22"/>
          <w:rtl w:val="false"/>
        </w:rPr>
        <w:t xml:space="preserve">【Kabbalists】 — </w:t>
      </w:r>
      <w:r>
        <w:rPr>
          <w:rFonts w:ascii="Arial" w:cs="Arial" w:eastAsia="Arial" w:hAnsi="Arial"/>
          <w:b w:val="false"/>
          <w:bCs w:val="false"/>
          <w:sz w:val="22"/>
          <w:szCs w:val="22"/>
          <w:rtl w:val="false"/>
        </w:rPr>
        <w:t xml:space="preserve">a traditional interpretation by a later Kabbalist or later posek.</w:t>
      </w:r>
    </w:p>
    <w:p>
      <w:pPr>
        <w:pStyle w:val="ListParagraph"/>
        <w:numPr>
          <w:ilvl w:val="0"/>
          <w:numId w:val="1"/>
        </w:numPr>
        <w:spacing w:after="60" w:line="276"/>
        <w:jc w:val="left"/>
      </w:pPr>
      <w:r>
        <w:rPr>
          <w:rFonts w:ascii="Arial" w:cs="Arial" w:eastAsia="Arial" w:hAnsi="Arial"/>
          <w:b/>
          <w:bCs/>
          <w:sz w:val="22"/>
          <w:szCs w:val="22"/>
          <w:rtl w:val="false"/>
        </w:rPr>
        <w:t xml:space="preserve">【Scholarship】 — </w:t>
      </w:r>
      <w:r>
        <w:rPr>
          <w:rFonts w:ascii="Arial" w:cs="Arial" w:eastAsia="Arial" w:hAnsi="Arial"/>
          <w:b w:val="false"/>
          <w:bCs w:val="false"/>
          <w:sz w:val="22"/>
          <w:szCs w:val="22"/>
          <w:rtl w:val="false"/>
        </w:rPr>
        <w:t xml:space="preserve">a scholarly / historical observation.</w:t>
      </w:r>
    </w:p>
    <w:p>
      <w:pPr>
        <w:pStyle w:val="ListParagraph"/>
        <w:numPr>
          <w:ilvl w:val="0"/>
          <w:numId w:val="1"/>
        </w:numPr>
        <w:spacing w:after="60" w:line="276"/>
        <w:jc w:val="left"/>
      </w:pPr>
      <w:r>
        <w:rPr>
          <w:rFonts w:ascii="Arial" w:cs="Arial" w:eastAsia="Arial" w:hAnsi="Arial"/>
          <w:b/>
          <w:bCs/>
          <w:sz w:val="22"/>
          <w:szCs w:val="22"/>
          <w:rtl w:val="false"/>
        </w:rPr>
        <w:t xml:space="preserve">【Synthesis】 — </w:t>
      </w:r>
      <w:r>
        <w:rPr>
          <w:rFonts w:ascii="Arial" w:cs="Arial" w:eastAsia="Arial" w:hAnsi="Arial"/>
          <w:b w:val="false"/>
          <w:bCs w:val="false"/>
          <w:sz w:val="22"/>
          <w:szCs w:val="22"/>
          <w:rtl w:val="false"/>
        </w:rPr>
        <w:t xml:space="preserve">my own synthesis, comparison, or connection.</w:t>
      </w:r>
    </w:p>
    <w:p>
      <w:pPr>
        <w:pStyle w:val="Heading2"/>
        <w:spacing w:after="110" w:before="220"/>
      </w:pPr>
      <w:r>
        <w:rPr>
          <w:rFonts w:ascii="Arial" w:cs="Arial" w:eastAsia="Arial" w:hAnsi="Arial"/>
          <w:b/>
          <w:bCs/>
          <w:sz w:val="26"/>
          <w:szCs w:val="26"/>
        </w:rPr>
        <w:t xml:space="preserve">Structure of the guide</w:t>
      </w:r>
    </w:p>
    <w:p>
      <w:pPr>
        <w:spacing w:after="120" w:line="288"/>
        <w:jc w:val="both"/>
      </w:pPr>
      <w:r>
        <w:rPr>
          <w:rFonts w:ascii="Arial" w:cs="Arial" w:eastAsia="Arial" w:hAnsi="Arial"/>
          <w:b w:val="false"/>
          <w:bCs w:val="false"/>
          <w:sz w:val="22"/>
          <w:szCs w:val="22"/>
          <w:rtl w:val="false"/>
        </w:rPr>
        <w:t xml:space="preserve">The two tracks are not equal in number (A = 20 gates; B = 50 gates), so we walk together from Gate 1 to Gate 20 (both tracks in each gate), and from Gate 21 to Gate 50 Track B continues alone. Every claim carries a source tag.</w:t>
      </w:r>
    </w:p>
    <w:p>
      <w:pPr>
        <w:pStyle w:val="Heading1"/>
        <w:spacing w:after="140" w:before="280"/>
      </w:pPr>
      <w:r>
        <w:rPr>
          <w:rFonts w:ascii="Arial" w:cs="Arial" w:eastAsia="Arial" w:hAnsi="Arial"/>
          <w:b/>
          <w:bCs/>
          <w:sz w:val="32"/>
          <w:szCs w:val="32"/>
        </w:rPr>
        <w:t xml:space="preserve">Gate 1</w:t>
      </w:r>
    </w:p>
    <w:p>
      <w:pPr>
        <w:pStyle w:val="Heading2"/>
        <w:spacing w:after="110" w:before="220"/>
      </w:pPr>
      <w:r>
        <w:rPr>
          <w:rFonts w:ascii="Arial" w:cs="Arial" w:eastAsia="Arial" w:hAnsi="Arial"/>
          <w:b/>
          <w:bCs/>
          <w:sz w:val="26"/>
          <w:szCs w:val="26"/>
        </w:rPr>
        <w:t xml:space="preserve">Track A — Sefer Sha’arei Binah (halakhic) · Gate 1: The Essence of the Oath and Its Core · pp. 5–6</w:t>
      </w:r>
    </w:p>
    <w:p>
      <w:pPr>
        <w:spacing w:after="120" w:line="288"/>
        <w:jc w:val="both"/>
      </w:pPr>
      <w:r>
        <w:rPr>
          <w:rFonts w:ascii="Arial" w:cs="Arial" w:eastAsia="Arial" w:hAnsi="Arial"/>
          <w:b/>
          <w:bCs/>
          <w:sz w:val="22"/>
          <w:szCs w:val="22"/>
          <w:rtl w:val="false"/>
        </w:rPr>
        <w:t xml:space="preserve">What the gate is. </w:t>
      </w:r>
      <w:r>
        <w:rPr>
          <w:rFonts w:ascii="Arial" w:cs="Arial" w:eastAsia="Arial" w:hAnsi="Arial"/>
          <w:b w:val="false"/>
          <w:bCs w:val="false"/>
          <w:sz w:val="22"/>
          <w:szCs w:val="22"/>
          <w:rtl w:val="false"/>
        </w:rPr>
        <w:t xml:space="preserve">Gate 1 is the only gate in the whole book that does not rule on a specific money-case; it defines the concept itself: what legally counts as an oath (שבועה)? All nineteen remaining gates presuppose this. Your summary puts it exactly: "the base of the whole book — without the definition of ‘oath,’ the other gates are meaningless." </w:t>
      </w:r>
      <w:r>
        <w:rPr>
          <w:rFonts w:ascii="Arial" w:cs="Arial" w:eastAsia="Arial" w:hAnsi="Arial"/>
          <w:b/>
          <w:bCs/>
          <w:sz w:val="22"/>
          <w:szCs w:val="22"/>
          <w:rtl w:val="false"/>
        </w:rPr>
        <w:t xml:space="preserve">【Source — the book’s own framing, p. 5】</w:t>
      </w:r>
    </w:p>
    <w:p>
      <w:pPr>
        <w:spacing w:after="120" w:line="288"/>
        <w:jc w:val="both"/>
      </w:pPr>
      <w:r>
        <w:rPr>
          <w:rFonts w:ascii="Arial" w:cs="Arial" w:eastAsia="Arial" w:hAnsi="Arial"/>
          <w:b/>
          <w:bCs/>
          <w:sz w:val="22"/>
          <w:szCs w:val="22"/>
          <w:rtl w:val="false"/>
        </w:rPr>
        <w:t xml:space="preserve">The "entry" to the gate. </w:t>
      </w:r>
      <w:r>
        <w:rPr>
          <w:rFonts w:ascii="Arial" w:cs="Arial" w:eastAsia="Arial" w:hAnsi="Arial"/>
          <w:b w:val="false"/>
          <w:bCs w:val="false"/>
          <w:sz w:val="22"/>
          <w:szCs w:val="22"/>
          <w:rtl w:val="false"/>
        </w:rPr>
        <w:t xml:space="preserve">You enter Gate 1 whenever the question is "is this even an oath?" The three tests named in the source: (1) mention of the Divine Name or a kinuy/epithet; (2) language of imprecation (leshon alah); (3) verbal acceptance by the swearer himself (kabbalah be-feh). </w:t>
      </w:r>
      <w:r>
        <w:rPr>
          <w:rFonts w:ascii="Arial" w:cs="Arial" w:eastAsia="Arial" w:hAnsi="Arial"/>
          <w:b/>
          <w:bCs/>
          <w:sz w:val="22"/>
          <w:szCs w:val="22"/>
          <w:rtl w:val="false"/>
        </w:rPr>
        <w:t xml:space="preserve">【Source, p. 5】</w:t>
      </w:r>
    </w:p>
    <w:p>
      <w:pPr>
        <w:spacing w:after="120" w:line="288"/>
        <w:jc w:val="both"/>
      </w:pPr>
      <w:r>
        <w:rPr>
          <w:rFonts w:ascii="Arial" w:cs="Arial" w:eastAsia="Arial" w:hAnsi="Arial"/>
          <w:b/>
          <w:bCs/>
          <w:sz w:val="22"/>
          <w:szCs w:val="22"/>
          <w:rtl w:val="false"/>
        </w:rPr>
        <w:t xml:space="preserve">Worked example (from 50.docx). </w:t>
      </w:r>
      <w:r>
        <w:rPr>
          <w:rFonts w:ascii="Arial" w:cs="Arial" w:eastAsia="Arial" w:hAnsi="Arial"/>
          <w:b w:val="false"/>
          <w:bCs w:val="false"/>
          <w:sz w:val="22"/>
          <w:szCs w:val="22"/>
          <w:rtl w:val="false"/>
        </w:rPr>
        <w:t xml:space="preserve">A defendant declares in court: "I hereby swear by God that I owe you nothing." The dayan turns to Gate 1 to verify it is a real oath: was a Name (or kinuy) invoked? was there language of acceptance? was it done standing/sitting as required? Only then does it carry an oath’s weight. </w:t>
      </w:r>
      <w:r>
        <w:rPr>
          <w:rFonts w:ascii="Arial" w:cs="Arial" w:eastAsia="Arial" w:hAnsi="Arial"/>
          <w:b/>
          <w:bCs/>
          <w:sz w:val="22"/>
          <w:szCs w:val="22"/>
          <w:rtl w:val="false"/>
        </w:rPr>
        <w:t xml:space="preserve">【Source, summary §Gate 1】</w:t>
      </w:r>
    </w:p>
    <w:p>
      <w:pPr>
        <w:spacing w:after="120" w:line="288"/>
        <w:jc w:val="both"/>
      </w:pPr>
      <w:r>
        <w:rPr>
          <w:rFonts w:ascii="Arial" w:cs="Arial" w:eastAsia="Arial" w:hAnsi="Arial"/>
          <w:b/>
          <w:bCs/>
          <w:sz w:val="22"/>
          <w:szCs w:val="22"/>
          <w:rtl w:val="false"/>
        </w:rPr>
        <w:t xml:space="preserve">The six aspects of oath. </w:t>
      </w:r>
      <w:r>
        <w:rPr>
          <w:rFonts w:ascii="Arial" w:cs="Arial" w:eastAsia="Arial" w:hAnsi="Arial"/>
          <w:b w:val="false"/>
          <w:bCs w:val="false"/>
          <w:sz w:val="22"/>
          <w:szCs w:val="22"/>
          <w:rtl w:val="false"/>
        </w:rPr>
        <w:t xml:space="preserve">Page 5 already previews the six types that Gate 2 enumerates, bridging "what is an oath" to "how many kinds are there":</w:t>
      </w:r>
    </w:p>
    <w:p>
      <w:pPr>
        <w:pStyle w:val="ListParagraph"/>
        <w:numPr>
          <w:ilvl w:val="0"/>
          <w:numId w:val="1"/>
        </w:numPr>
        <w:spacing w:after="60" w:line="276"/>
        <w:jc w:val="left"/>
      </w:pPr>
      <w:r>
        <w:rPr>
          <w:rFonts w:ascii="Arial" w:cs="Arial" w:eastAsia="Arial" w:hAnsi="Arial"/>
          <w:b/>
          <w:bCs/>
          <w:sz w:val="22"/>
          <w:szCs w:val="22"/>
          <w:rtl w:val="false"/>
        </w:rPr>
        <w:t xml:space="preserve">Shevuat bitui — </w:t>
      </w:r>
      <w:r>
        <w:rPr>
          <w:rFonts w:ascii="Arial" w:cs="Arial" w:eastAsia="Arial" w:hAnsi="Arial"/>
          <w:b w:val="false"/>
          <w:bCs w:val="false"/>
          <w:sz w:val="22"/>
          <w:szCs w:val="22"/>
          <w:rtl w:val="false"/>
        </w:rPr>
        <w:t xml:space="preserve">the oath of expression, a personal vow to do / not do (Lev 5:4). </w:t>
      </w:r>
      <w:r>
        <w:rPr>
          <w:rFonts w:ascii="Arial" w:cs="Arial" w:eastAsia="Arial" w:hAnsi="Arial"/>
          <w:b/>
          <w:bCs/>
          <w:sz w:val="22"/>
          <w:szCs w:val="22"/>
          <w:rtl w:val="false"/>
        </w:rPr>
        <w:t xml:space="preserve">【Source】</w:t>
      </w:r>
    </w:p>
    <w:p>
      <w:pPr>
        <w:pStyle w:val="ListParagraph"/>
        <w:numPr>
          <w:ilvl w:val="0"/>
          <w:numId w:val="1"/>
        </w:numPr>
        <w:spacing w:after="60" w:line="276"/>
        <w:jc w:val="left"/>
      </w:pPr>
      <w:r>
        <w:rPr>
          <w:rFonts w:ascii="Arial" w:cs="Arial" w:eastAsia="Arial" w:hAnsi="Arial"/>
          <w:b/>
          <w:bCs/>
          <w:sz w:val="22"/>
          <w:szCs w:val="22"/>
          <w:rtl w:val="false"/>
        </w:rPr>
        <w:t xml:space="preserve">Shevuat shav — </w:t>
      </w:r>
      <w:r>
        <w:rPr>
          <w:rFonts w:ascii="Arial" w:cs="Arial" w:eastAsia="Arial" w:hAnsi="Arial"/>
          <w:b w:val="false"/>
          <w:bCs w:val="false"/>
          <w:sz w:val="22"/>
          <w:szCs w:val="22"/>
          <w:rtl w:val="false"/>
        </w:rPr>
        <w:t xml:space="preserve">the vain oath; the Third Commandment, "You shall not take the Name of the Lord your God in vain" (Ex 20:7). </w:t>
      </w:r>
      <w:r>
        <w:rPr>
          <w:rFonts w:ascii="Arial" w:cs="Arial" w:eastAsia="Arial" w:hAnsi="Arial"/>
          <w:b/>
          <w:bCs/>
          <w:sz w:val="22"/>
          <w:szCs w:val="22"/>
          <w:rtl w:val="false"/>
        </w:rPr>
        <w:t xml:space="preserve">【Source】</w:t>
      </w:r>
    </w:p>
    <w:p>
      <w:pPr>
        <w:pStyle w:val="ListParagraph"/>
        <w:numPr>
          <w:ilvl w:val="0"/>
          <w:numId w:val="1"/>
        </w:numPr>
        <w:spacing w:after="60" w:line="276"/>
        <w:jc w:val="left"/>
      </w:pPr>
      <w:r>
        <w:rPr>
          <w:rFonts w:ascii="Arial" w:cs="Arial" w:eastAsia="Arial" w:hAnsi="Arial"/>
          <w:b/>
          <w:bCs/>
          <w:sz w:val="22"/>
          <w:szCs w:val="22"/>
          <w:rtl w:val="false"/>
        </w:rPr>
        <w:t xml:space="preserve">Shevuat ha-pikadon — </w:t>
      </w:r>
      <w:r>
        <w:rPr>
          <w:rFonts w:ascii="Arial" w:cs="Arial" w:eastAsia="Arial" w:hAnsi="Arial"/>
          <w:b w:val="false"/>
          <w:bCs w:val="false"/>
          <w:sz w:val="22"/>
          <w:szCs w:val="22"/>
          <w:rtl w:val="false"/>
        </w:rPr>
        <w:t xml:space="preserve">denying a deposit / monetary claim (Lev 5:21–24). </w:t>
      </w:r>
      <w:r>
        <w:rPr>
          <w:rFonts w:ascii="Arial" w:cs="Arial" w:eastAsia="Arial" w:hAnsi="Arial"/>
          <w:b/>
          <w:bCs/>
          <w:sz w:val="22"/>
          <w:szCs w:val="22"/>
          <w:rtl w:val="false"/>
        </w:rPr>
        <w:t xml:space="preserve">【Source】</w:t>
      </w:r>
    </w:p>
    <w:p>
      <w:pPr>
        <w:pStyle w:val="ListParagraph"/>
        <w:numPr>
          <w:ilvl w:val="0"/>
          <w:numId w:val="1"/>
        </w:numPr>
        <w:spacing w:after="60" w:line="276"/>
        <w:jc w:val="left"/>
      </w:pPr>
      <w:r>
        <w:rPr>
          <w:rFonts w:ascii="Arial" w:cs="Arial" w:eastAsia="Arial" w:hAnsi="Arial"/>
          <w:b/>
          <w:bCs/>
          <w:sz w:val="22"/>
          <w:szCs w:val="22"/>
          <w:rtl w:val="false"/>
        </w:rPr>
        <w:t xml:space="preserve">Shevuat ha-edut — </w:t>
      </w:r>
      <w:r>
        <w:rPr>
          <w:rFonts w:ascii="Arial" w:cs="Arial" w:eastAsia="Arial" w:hAnsi="Arial"/>
          <w:b w:val="false"/>
          <w:bCs w:val="false"/>
          <w:sz w:val="22"/>
          <w:szCs w:val="22"/>
          <w:rtl w:val="false"/>
        </w:rPr>
        <w:t xml:space="preserve">a witness who denies his knowledge (Lev 5:1). </w:t>
      </w:r>
      <w:r>
        <w:rPr>
          <w:rFonts w:ascii="Arial" w:cs="Arial" w:eastAsia="Arial" w:hAnsi="Arial"/>
          <w:b/>
          <w:bCs/>
          <w:sz w:val="22"/>
          <w:szCs w:val="22"/>
          <w:rtl w:val="false"/>
        </w:rPr>
        <w:t xml:space="preserve">【Source】</w:t>
      </w:r>
    </w:p>
    <w:p>
      <w:pPr>
        <w:pStyle w:val="ListParagraph"/>
        <w:numPr>
          <w:ilvl w:val="0"/>
          <w:numId w:val="1"/>
        </w:numPr>
        <w:spacing w:after="60" w:line="276"/>
        <w:jc w:val="left"/>
      </w:pPr>
      <w:r>
        <w:rPr>
          <w:rFonts w:ascii="Arial" w:cs="Arial" w:eastAsia="Arial" w:hAnsi="Arial"/>
          <w:b/>
          <w:bCs/>
          <w:sz w:val="22"/>
          <w:szCs w:val="22"/>
          <w:rtl w:val="false"/>
        </w:rPr>
        <w:t xml:space="preserve">Shevuat ha-shomrim — </w:t>
      </w:r>
      <w:r>
        <w:rPr>
          <w:rFonts w:ascii="Arial" w:cs="Arial" w:eastAsia="Arial" w:hAnsi="Arial"/>
          <w:b w:val="false"/>
          <w:bCs w:val="false"/>
          <w:sz w:val="22"/>
          <w:szCs w:val="22"/>
          <w:rtl w:val="false"/>
        </w:rPr>
        <w:t xml:space="preserve">the bailees’ oath (Ex 22:6–14). </w:t>
      </w:r>
      <w:r>
        <w:rPr>
          <w:rFonts w:ascii="Arial" w:cs="Arial" w:eastAsia="Arial" w:hAnsi="Arial"/>
          <w:b/>
          <w:bCs/>
          <w:sz w:val="22"/>
          <w:szCs w:val="22"/>
          <w:rtl w:val="false"/>
        </w:rPr>
        <w:t xml:space="preserve">【Source】</w:t>
      </w:r>
    </w:p>
    <w:p>
      <w:pPr>
        <w:pStyle w:val="ListParagraph"/>
        <w:numPr>
          <w:ilvl w:val="0"/>
          <w:numId w:val="1"/>
        </w:numPr>
        <w:spacing w:after="60" w:line="276"/>
        <w:jc w:val="left"/>
      </w:pPr>
      <w:r>
        <w:rPr>
          <w:rFonts w:ascii="Arial" w:cs="Arial" w:eastAsia="Arial" w:hAnsi="Arial"/>
          <w:b/>
          <w:bCs/>
          <w:sz w:val="22"/>
          <w:szCs w:val="22"/>
          <w:rtl w:val="false"/>
        </w:rPr>
        <w:t xml:space="preserve">Shevuat ha-dayanim — </w:t>
      </w:r>
      <w:r>
        <w:rPr>
          <w:rFonts w:ascii="Arial" w:cs="Arial" w:eastAsia="Arial" w:hAnsi="Arial"/>
          <w:b w:val="false"/>
          <w:bCs w:val="false"/>
          <w:sz w:val="22"/>
          <w:szCs w:val="22"/>
          <w:rtl w:val="false"/>
        </w:rPr>
        <w:t xml:space="preserve">the oath administered by the court (Shevuot 38b ff.). </w:t>
      </w:r>
      <w:r>
        <w:rPr>
          <w:rFonts w:ascii="Arial" w:cs="Arial" w:eastAsia="Arial" w:hAnsi="Arial"/>
          <w:b/>
          <w:bCs/>
          <w:sz w:val="22"/>
          <w:szCs w:val="22"/>
          <w:rtl w:val="false"/>
        </w:rPr>
        <w:t xml:space="preserve">【Source】</w:t>
      </w:r>
    </w:p>
    <w:p>
      <w:pPr>
        <w:spacing w:after="120" w:line="288"/>
        <w:jc w:val="both"/>
      </w:pPr>
      <w:r>
        <w:rPr>
          <w:rFonts w:ascii="Arial" w:cs="Arial" w:eastAsia="Arial" w:hAnsi="Arial"/>
          <w:b w:val="false"/>
          <w:bCs w:val="false"/>
          <w:sz w:val="22"/>
          <w:szCs w:val="22"/>
          <w:rtl w:val="false"/>
        </w:rPr>
        <w:t xml:space="preserve">The Mishnah (Shevuot ch. 3) formally counts four (bitui, shav, pikadon, edut); shomrim and dayanim are the applied court-oaths. The author folds all six into one navigational list. </w:t>
      </w:r>
      <w:r>
        <w:rPr>
          <w:rFonts w:ascii="Arial" w:cs="Arial" w:eastAsia="Arial" w:hAnsi="Arial"/>
          <w:b/>
          <w:bCs/>
          <w:sz w:val="22"/>
          <w:szCs w:val="22"/>
          <w:rtl w:val="false"/>
        </w:rPr>
        <w:t xml:space="preserve">【Scholarship】</w:t>
      </w:r>
    </w:p>
    <w:p>
      <w:pPr>
        <w:spacing w:after="120" w:line="288"/>
        <w:jc w:val="both"/>
      </w:pPr>
      <w:r>
        <w:rPr>
          <w:rFonts w:ascii="Arial" w:cs="Arial" w:eastAsia="Arial" w:hAnsi="Arial"/>
          <w:b/>
          <w:bCs/>
          <w:sz w:val="22"/>
          <w:szCs w:val="22"/>
          <w:rtl w:val="false"/>
        </w:rPr>
        <w:t xml:space="preserve">The mechanics of "by the Name or a kinuy." </w:t>
      </w:r>
      <w:r>
        <w:rPr>
          <w:rFonts w:ascii="Arial" w:cs="Arial" w:eastAsia="Arial" w:hAnsi="Arial"/>
          <w:b w:val="false"/>
          <w:bCs w:val="false"/>
          <w:sz w:val="22"/>
          <w:szCs w:val="22"/>
          <w:rtl w:val="false"/>
        </w:rPr>
        <w:t xml:space="preserve">That an oath takes effect by the Name or by an epithet is Mishnah Shevuot 4:13 and the sugya at Shevuot 35a–b, codified in Rambam, Hilkhot Shevuot 2:2–4. Epithets (Rachum, Chanun, "God of Israel") bind exactly like the explicit Name — the theme Gate 3 develops. </w:t>
      </w:r>
      <w:r>
        <w:rPr>
          <w:rFonts w:ascii="Arial" w:cs="Arial" w:eastAsia="Arial" w:hAnsi="Arial"/>
          <w:b/>
          <w:bCs/>
          <w:sz w:val="22"/>
          <w:szCs w:val="22"/>
          <w:rtl w:val="false"/>
        </w:rPr>
        <w:t xml:space="preserve">【Source】</w:t>
      </w:r>
    </w:p>
    <w:p>
      <w:pPr>
        <w:spacing w:after="120" w:line="288"/>
        <w:jc w:val="both"/>
      </w:pPr>
      <w:r>
        <w:rPr>
          <w:rFonts w:ascii="Arial" w:cs="Arial" w:eastAsia="Arial" w:hAnsi="Arial"/>
          <w:b/>
          <w:bCs/>
          <w:sz w:val="22"/>
          <w:szCs w:val="22"/>
          <w:rtl w:val="false"/>
        </w:rPr>
        <w:t xml:space="preserve">What makes it unique. </w:t>
      </w:r>
      <w:r>
        <w:rPr>
          <w:rFonts w:ascii="Arial" w:cs="Arial" w:eastAsia="Arial" w:hAnsi="Arial"/>
          <w:b w:val="false"/>
          <w:bCs w:val="false"/>
          <w:sz w:val="22"/>
          <w:szCs w:val="22"/>
          <w:rtl w:val="false"/>
        </w:rPr>
        <w:t xml:space="preserve">It is definitional, not casuistic — the trunk; every other gate is a branch. </w:t>
      </w:r>
      <w:r>
        <w:rPr>
          <w:rFonts w:ascii="Arial" w:cs="Arial" w:eastAsia="Arial" w:hAnsi="Arial"/>
          <w:b/>
          <w:bCs/>
          <w:sz w:val="22"/>
          <w:szCs w:val="22"/>
          <w:rtl w:val="false"/>
        </w:rPr>
        <w:t xml:space="preserve">【Synthesis】</w:t>
      </w:r>
    </w:p>
    <w:p>
      <w:pPr>
        <w:spacing w:after="120" w:line="288"/>
        <w:jc w:val="both"/>
      </w:pPr>
      <w:r>
        <w:rPr>
          <w:rFonts w:ascii="Arial" w:cs="Arial" w:eastAsia="Arial" w:hAnsi="Arial"/>
          <w:b/>
          <w:bCs/>
          <w:sz w:val="22"/>
          <w:szCs w:val="22"/>
          <w:rtl w:val="false"/>
        </w:rPr>
        <w:t xml:space="preserve">Relation to the other nineteen gates. </w:t>
      </w:r>
      <w:r>
        <w:rPr>
          <w:rFonts w:ascii="Arial" w:cs="Arial" w:eastAsia="Arial" w:hAnsi="Arial"/>
          <w:b w:val="false"/>
          <w:bCs w:val="false"/>
          <w:sz w:val="22"/>
          <w:szCs w:val="22"/>
          <w:rtl w:val="false"/>
        </w:rPr>
        <w:t xml:space="preserve">Gate 1 (definition) → Gate 2 (types) → Gate 3 (Name vs. kinuy) are the conceptual preface. From Gate 4 on, the book turns practical: it sorts every case into the three roots of a Torah-oath (modeh be-miktzat, ed echad, shomrim → Gates 5, 6, 7), then the extensions (8–20). Gate 1 is the silent premise beneath all of them. </w:t>
      </w:r>
      <w:r>
        <w:rPr>
          <w:rFonts w:ascii="Arial" w:cs="Arial" w:eastAsia="Arial" w:hAnsi="Arial"/>
          <w:b/>
          <w:bCs/>
          <w:sz w:val="22"/>
          <w:szCs w:val="22"/>
          <w:rtl w:val="false"/>
        </w:rPr>
        <w:t xml:space="preserve">【Synthesis】</w:t>
      </w:r>
    </w:p>
    <w:p>
      <w:pPr>
        <w:spacing w:after="120" w:line="288"/>
        <w:jc w:val="both"/>
      </w:pPr>
      <w:r>
        <w:rPr>
          <w:rFonts w:ascii="Arial" w:cs="Arial" w:eastAsia="Arial" w:hAnsi="Arial"/>
          <w:b/>
          <w:bCs/>
          <w:sz w:val="22"/>
          <w:szCs w:val="22"/>
          <w:rtl w:val="false"/>
        </w:rPr>
        <w:t xml:space="preserve">The later-authorities layer. </w:t>
      </w:r>
      <w:r>
        <w:rPr>
          <w:rFonts w:ascii="Arial" w:cs="Arial" w:eastAsia="Arial" w:hAnsi="Arial"/>
          <w:b w:val="false"/>
          <w:bCs w:val="false"/>
          <w:sz w:val="22"/>
          <w:szCs w:val="22"/>
          <w:rtl w:val="false"/>
        </w:rPr>
        <w:t xml:space="preserve">R. Yoav’s commentary surrounds the terse Sha’arei Shevuot text with the views of Rashi, Rif, Rambam, Ramban, Rosh, Ran, Tur, Beit Yosef, Shulchan Arukh, Shakh, Taz; the book’s own index "Mavo ha-She’arim" (pp. 175–180) routes Gate 1 to the laws of oaths in Shulchan Arukh, Choshen Mishpat (from siman 87 on). </w:t>
      </w:r>
      <w:r>
        <w:rPr>
          <w:rFonts w:ascii="Arial" w:cs="Arial" w:eastAsia="Arial" w:hAnsi="Arial"/>
          <w:b/>
          <w:bCs/>
          <w:sz w:val="22"/>
          <w:szCs w:val="22"/>
          <w:rtl w:val="false"/>
        </w:rPr>
        <w:t xml:space="preserve">【Source — the index】; and for the harmonizing discussion 【Kabbalists/later poskim】</w:t>
      </w:r>
    </w:p>
    <w:p>
      <w:pPr>
        <w:spacing w:after="120" w:line="288"/>
        <w:jc w:val="both"/>
      </w:pPr>
      <w:r>
        <w:rPr>
          <w:rFonts w:ascii="Arial" w:cs="Arial" w:eastAsia="Arial" w:hAnsi="Arial"/>
          <w:b/>
          <w:bCs/>
          <w:sz w:val="22"/>
          <w:szCs w:val="22"/>
          <w:rtl w:val="false"/>
        </w:rPr>
        <w:t xml:space="preserve">Contemplative take. </w:t>
      </w:r>
      <w:r>
        <w:rPr>
          <w:rFonts w:ascii="Arial" w:cs="Arial" w:eastAsia="Arial" w:hAnsi="Arial"/>
          <w:b w:val="false"/>
          <w:bCs w:val="false"/>
          <w:sz w:val="22"/>
          <w:szCs w:val="22"/>
          <w:rtl w:val="false"/>
        </w:rPr>
        <w:t xml:space="preserve">The petichah on p. 4 stresses the gravity of the sin of an oath and the dayan’s duty to warn. So the very first "gate" is really a threshold of awe before invoking the Name. </w:t>
      </w:r>
      <w:r>
        <w:rPr>
          <w:rFonts w:ascii="Arial" w:cs="Arial" w:eastAsia="Arial" w:hAnsi="Arial"/>
          <w:b/>
          <w:bCs/>
          <w:sz w:val="22"/>
          <w:szCs w:val="22"/>
          <w:rtl w:val="false"/>
        </w:rPr>
        <w:t xml:space="preserve">【Source, p. 4】</w:t>
      </w:r>
    </w:p>
    <w:p>
      <w:pPr>
        <w:pStyle w:val="Heading2"/>
        <w:spacing w:after="110" w:before="220"/>
      </w:pPr>
      <w:r>
        <w:rPr>
          <w:rFonts w:ascii="Arial" w:cs="Arial" w:eastAsia="Arial" w:hAnsi="Arial"/>
          <w:b/>
          <w:bCs/>
          <w:sz w:val="26"/>
          <w:szCs w:val="26"/>
        </w:rPr>
        <w:t xml:space="preserve">Track B — The Fifty Gates of Binah (Kabbalistic) · The First of the Fifty Gates</w:t>
      </w:r>
    </w:p>
    <w:p>
      <w:pPr>
        <w:spacing w:after="120" w:line="288"/>
        <w:jc w:val="both"/>
      </w:pPr>
      <w:r>
        <w:rPr>
          <w:rFonts w:ascii="Arial" w:cs="Arial" w:eastAsia="Arial" w:hAnsi="Arial"/>
          <w:b/>
          <w:bCs/>
          <w:sz w:val="22"/>
          <w:szCs w:val="22"/>
          <w:rtl w:val="false"/>
        </w:rPr>
        <w:t xml:space="preserve">The system in one breath. </w:t>
      </w:r>
      <w:r>
        <w:rPr>
          <w:rFonts w:ascii="Arial" w:cs="Arial" w:eastAsia="Arial" w:hAnsi="Arial"/>
          <w:b w:val="false"/>
          <w:bCs w:val="false"/>
          <w:sz w:val="22"/>
          <w:szCs w:val="22"/>
          <w:rtl w:val="false"/>
        </w:rPr>
        <w:t xml:space="preserve">"Fifty gates of understanding were created in the world, and all were given to Moses save one," derived from "You made him lack but little of God" (Ps 8:6). This is Rosh Hashanah 21b, echoed at Nedarim 38a. The gates belong to the sefirah Binah — understanding, the "supernal Mother" (Imma Ila’ah), source of all differentiated comprehension. </w:t>
      </w:r>
      <w:r>
        <w:rPr>
          <w:rFonts w:ascii="Arial" w:cs="Arial" w:eastAsia="Arial" w:hAnsi="Arial"/>
          <w:b/>
          <w:bCs/>
          <w:sz w:val="22"/>
          <w:szCs w:val="22"/>
          <w:rtl w:val="false"/>
        </w:rPr>
        <w:t xml:space="preserve">【Source】</w:t>
      </w:r>
    </w:p>
    <w:p>
      <w:pPr>
        <w:spacing w:after="120" w:line="288"/>
        <w:jc w:val="both"/>
      </w:pPr>
      <w:r>
        <w:rPr>
          <w:rFonts w:ascii="Arial" w:cs="Arial" w:eastAsia="Arial" w:hAnsi="Arial"/>
          <w:b/>
          <w:bCs/>
          <w:sz w:val="22"/>
          <w:szCs w:val="22"/>
          <w:rtl w:val="false"/>
        </w:rPr>
        <w:t xml:space="preserve">The framing pair. </w:t>
      </w:r>
      <w:r>
        <w:rPr>
          <w:rFonts w:ascii="Arial" w:cs="Arial" w:eastAsia="Arial" w:hAnsi="Arial"/>
          <w:b w:val="false"/>
          <w:bCs w:val="false"/>
          <w:sz w:val="22"/>
          <w:szCs w:val="22"/>
          <w:rtl w:val="false"/>
        </w:rPr>
        <w:t xml:space="preserve">Sefer Yetzirah 1:1 opens: "with thirty-two wondrous paths of Wisdom (Chochmah)." Kabbalah reads Chochmah’s 32 paths and Binah’s 50 gates as a complementary pair: 32 = the flash of insight; 50 = its gate-by-gate unfolding into comprehension. Ramban, in his Introduction to the Torah, ties all of Torah to them. </w:t>
      </w:r>
      <w:r>
        <w:rPr>
          <w:rFonts w:ascii="Arial" w:cs="Arial" w:eastAsia="Arial" w:hAnsi="Arial"/>
          <w:b/>
          <w:bCs/>
          <w:sz w:val="22"/>
          <w:szCs w:val="22"/>
          <w:rtl w:val="false"/>
        </w:rPr>
        <w:t xml:space="preserve">【Source for SY 1:1 and RH 21b】; the 32↔50 pairing 【Kabbalists】</w:t>
      </w:r>
    </w:p>
    <w:p>
      <w:pPr>
        <w:spacing w:after="120" w:line="288"/>
        <w:jc w:val="both"/>
      </w:pPr>
      <w:r>
        <w:rPr>
          <w:rFonts w:ascii="Arial" w:cs="Arial" w:eastAsia="Arial" w:hAnsi="Arial"/>
          <w:b/>
          <w:bCs/>
          <w:sz w:val="22"/>
          <w:szCs w:val="22"/>
          <w:rtl w:val="false"/>
        </w:rPr>
        <w:t xml:space="preserve">What the first gate is. </w:t>
      </w:r>
      <w:r>
        <w:rPr>
          <w:rFonts w:ascii="Arial" w:cs="Arial" w:eastAsia="Arial" w:hAnsi="Arial"/>
          <w:b w:val="false"/>
          <w:bCs w:val="false"/>
          <w:sz w:val="22"/>
          <w:szCs w:val="22"/>
          <w:rtl w:val="false"/>
        </w:rPr>
        <w:t xml:space="preserve">In the widely-circulated traditional enumeration, the fifty ascend from matter to the Divine, in five tiers of ten:</w:t>
      </w:r>
    </w:p>
    <w:p>
      <w:pPr>
        <w:pStyle w:val="ListParagraph"/>
        <w:numPr>
          <w:ilvl w:val="0"/>
          <w:numId w:val="1"/>
        </w:numPr>
        <w:spacing w:after="60" w:line="276"/>
        <w:jc w:val="left"/>
      </w:pPr>
      <w:r>
        <w:rPr>
          <w:rFonts w:ascii="Arial" w:cs="Arial" w:eastAsia="Arial" w:hAnsi="Arial"/>
          <w:b/>
          <w:bCs/>
          <w:sz w:val="22"/>
          <w:szCs w:val="22"/>
          <w:rtl w:val="false"/>
        </w:rPr>
        <w:t xml:space="preserve">1–10: </w:t>
      </w:r>
      <w:r>
        <w:rPr>
          <w:rFonts w:ascii="Arial" w:cs="Arial" w:eastAsia="Arial" w:hAnsi="Arial"/>
          <w:b w:val="false"/>
          <w:bCs w:val="false"/>
          <w:sz w:val="22"/>
          <w:szCs w:val="22"/>
          <w:rtl w:val="false"/>
        </w:rPr>
        <w:t xml:space="preserve">inanimate matter / the elements — beginning with prime matter, the hiyuli, tohu.</w:t>
      </w:r>
    </w:p>
    <w:p>
      <w:pPr>
        <w:pStyle w:val="ListParagraph"/>
        <w:numPr>
          <w:ilvl w:val="0"/>
          <w:numId w:val="1"/>
        </w:numPr>
        <w:spacing w:after="60" w:line="276"/>
        <w:jc w:val="left"/>
      </w:pPr>
      <w:r>
        <w:rPr>
          <w:rFonts w:ascii="Arial" w:cs="Arial" w:eastAsia="Arial" w:hAnsi="Arial"/>
          <w:b/>
          <w:bCs/>
          <w:sz w:val="22"/>
          <w:szCs w:val="22"/>
          <w:rtl w:val="false"/>
        </w:rPr>
        <w:t xml:space="preserve">11–20: </w:t>
      </w:r>
      <w:r>
        <w:rPr>
          <w:rFonts w:ascii="Arial" w:cs="Arial" w:eastAsia="Arial" w:hAnsi="Arial"/>
          <w:b w:val="false"/>
          <w:bCs w:val="false"/>
          <w:sz w:val="22"/>
          <w:szCs w:val="22"/>
          <w:rtl w:val="false"/>
        </w:rPr>
        <w:t xml:space="preserve">plant life.</w:t>
      </w:r>
    </w:p>
    <w:p>
      <w:pPr>
        <w:pStyle w:val="ListParagraph"/>
        <w:numPr>
          <w:ilvl w:val="0"/>
          <w:numId w:val="1"/>
        </w:numPr>
        <w:spacing w:after="60" w:line="276"/>
        <w:jc w:val="left"/>
      </w:pPr>
      <w:r>
        <w:rPr>
          <w:rFonts w:ascii="Arial" w:cs="Arial" w:eastAsia="Arial" w:hAnsi="Arial"/>
          <w:b/>
          <w:bCs/>
          <w:sz w:val="22"/>
          <w:szCs w:val="22"/>
          <w:rtl w:val="false"/>
        </w:rPr>
        <w:t xml:space="preserve">21–30: </w:t>
      </w:r>
      <w:r>
        <w:rPr>
          <w:rFonts w:ascii="Arial" w:cs="Arial" w:eastAsia="Arial" w:hAnsi="Arial"/>
          <w:b w:val="false"/>
          <w:bCs w:val="false"/>
          <w:sz w:val="22"/>
          <w:szCs w:val="22"/>
          <w:rtl w:val="false"/>
        </w:rPr>
        <w:t xml:space="preserve">animal life.</w:t>
      </w:r>
    </w:p>
    <w:p>
      <w:pPr>
        <w:pStyle w:val="ListParagraph"/>
        <w:numPr>
          <w:ilvl w:val="0"/>
          <w:numId w:val="1"/>
        </w:numPr>
        <w:spacing w:after="60" w:line="276"/>
        <w:jc w:val="left"/>
      </w:pPr>
      <w:r>
        <w:rPr>
          <w:rFonts w:ascii="Arial" w:cs="Arial" w:eastAsia="Arial" w:hAnsi="Arial"/>
          <w:b/>
          <w:bCs/>
          <w:sz w:val="22"/>
          <w:szCs w:val="22"/>
          <w:rtl w:val="false"/>
        </w:rPr>
        <w:t xml:space="preserve">31–40: </w:t>
      </w:r>
      <w:r>
        <w:rPr>
          <w:rFonts w:ascii="Arial" w:cs="Arial" w:eastAsia="Arial" w:hAnsi="Arial"/>
          <w:b w:val="false"/>
          <w:bCs w:val="false"/>
          <w:sz w:val="22"/>
          <w:szCs w:val="22"/>
          <w:rtl w:val="false"/>
        </w:rPr>
        <w:t xml:space="preserve">the human being and the celestial spheres.</w:t>
      </w:r>
    </w:p>
    <w:p>
      <w:pPr>
        <w:pStyle w:val="ListParagraph"/>
        <w:numPr>
          <w:ilvl w:val="0"/>
          <w:numId w:val="1"/>
        </w:numPr>
        <w:spacing w:after="60" w:line="276"/>
        <w:jc w:val="left"/>
      </w:pPr>
      <w:r>
        <w:rPr>
          <w:rFonts w:ascii="Arial" w:cs="Arial" w:eastAsia="Arial" w:hAnsi="Arial"/>
          <w:b/>
          <w:bCs/>
          <w:sz w:val="22"/>
          <w:szCs w:val="22"/>
          <w:rtl w:val="false"/>
        </w:rPr>
        <w:t xml:space="preserve">41–49: </w:t>
      </w:r>
      <w:r>
        <w:rPr>
          <w:rFonts w:ascii="Arial" w:cs="Arial" w:eastAsia="Arial" w:hAnsi="Arial"/>
          <w:b w:val="false"/>
          <w:bCs w:val="false"/>
          <w:sz w:val="22"/>
          <w:szCs w:val="22"/>
          <w:rtl w:val="false"/>
        </w:rPr>
        <w:t xml:space="preserve">the angelic worlds and the sefirot.</w:t>
      </w:r>
    </w:p>
    <w:p>
      <w:pPr>
        <w:pStyle w:val="ListParagraph"/>
        <w:numPr>
          <w:ilvl w:val="0"/>
          <w:numId w:val="1"/>
        </w:numPr>
        <w:spacing w:after="60" w:line="276"/>
        <w:jc w:val="left"/>
      </w:pPr>
      <w:r>
        <w:rPr>
          <w:rFonts w:ascii="Arial" w:cs="Arial" w:eastAsia="Arial" w:hAnsi="Arial"/>
          <w:b/>
          <w:bCs/>
          <w:sz w:val="22"/>
          <w:szCs w:val="22"/>
          <w:rtl w:val="false"/>
        </w:rPr>
        <w:t xml:space="preserve">50: </w:t>
      </w:r>
      <w:r>
        <w:rPr>
          <w:rFonts w:ascii="Arial" w:cs="Arial" w:eastAsia="Arial" w:hAnsi="Arial"/>
          <w:b w:val="false"/>
          <w:bCs w:val="false"/>
          <w:sz w:val="22"/>
          <w:szCs w:val="22"/>
          <w:rtl w:val="false"/>
        </w:rPr>
        <w:t xml:space="preserve">knowledge of the Creator / Ein Sof — the gate Moses did not attain.</w:t>
      </w:r>
    </w:p>
    <w:p>
      <w:pPr>
        <w:spacing w:after="120" w:line="288"/>
        <w:jc w:val="both"/>
      </w:pPr>
      <w:r>
        <w:rPr>
          <w:rFonts w:ascii="Arial" w:cs="Arial" w:eastAsia="Arial" w:hAnsi="Arial"/>
          <w:b w:val="false"/>
          <w:bCs w:val="false"/>
          <w:sz w:val="22"/>
          <w:szCs w:val="22"/>
          <w:rtl w:val="false"/>
        </w:rPr>
        <w:t xml:space="preserve">So Gate 1 is the foundation-stone: comprehension of primordial, formless matter, from which understanding begins its climb upward. </w:t>
      </w:r>
      <w:r>
        <w:rPr>
          <w:rFonts w:ascii="Arial" w:cs="Arial" w:eastAsia="Arial" w:hAnsi="Arial"/>
          <w:b/>
          <w:bCs/>
          <w:sz w:val="22"/>
          <w:szCs w:val="22"/>
          <w:rtl w:val="false"/>
        </w:rPr>
        <w:t xml:space="preserve">【Kabbalists — this 5×10 list is a later-Kabbalist tradition of uncertain single authorship; flagged as such, not as Talmudic】</w:t>
      </w:r>
    </w:p>
    <w:p>
      <w:pPr>
        <w:spacing w:after="120" w:line="288"/>
        <w:jc w:val="both"/>
      </w:pPr>
      <w:r>
        <w:rPr>
          <w:rFonts w:ascii="Arial" w:cs="Arial" w:eastAsia="Arial" w:hAnsi="Arial"/>
          <w:b/>
          <w:bCs/>
          <w:sz w:val="22"/>
          <w:szCs w:val="22"/>
          <w:rtl w:val="false"/>
        </w:rPr>
        <w:t xml:space="preserve">How one "enters" it. </w:t>
      </w:r>
      <w:r>
        <w:rPr>
          <w:rFonts w:ascii="Arial" w:cs="Arial" w:eastAsia="Arial" w:hAnsi="Arial"/>
          <w:b w:val="false"/>
          <w:bCs w:val="false"/>
          <w:sz w:val="22"/>
          <w:szCs w:val="22"/>
          <w:rtl w:val="false"/>
        </w:rPr>
        <w:t xml:space="preserve">The lived form of the fifty gates is Sefirat ha-Omer — 49 days from Pesach to Shavuot. Israel had sunk in Egypt to the 49 gates of impurity and was redeemed before the fiftieth, then climbed one gate of holiness per day until receiving the Torah at the fiftieth. Entering Gate 1 is the first step upward. </w:t>
      </w:r>
      <w:r>
        <w:rPr>
          <w:rFonts w:ascii="Arial" w:cs="Arial" w:eastAsia="Arial" w:hAnsi="Arial"/>
          <w:b/>
          <w:bCs/>
          <w:sz w:val="22"/>
          <w:szCs w:val="22"/>
          <w:rtl w:val="false"/>
        </w:rPr>
        <w:t xml:space="preserve">【Source for the Omer, Lev 23:15–16】; the 49-gates reading — Zohar, the Arizal, and later the Ohr HaChaim and Ramchal 【Kabbalists】</w:t>
      </w:r>
    </w:p>
    <w:p>
      <w:pPr>
        <w:spacing w:after="120" w:line="288"/>
        <w:jc w:val="both"/>
      </w:pPr>
      <w:r>
        <w:rPr>
          <w:rFonts w:ascii="Arial" w:cs="Arial" w:eastAsia="Arial" w:hAnsi="Arial"/>
          <w:b/>
          <w:bCs/>
          <w:sz w:val="22"/>
          <w:szCs w:val="22"/>
          <w:rtl w:val="false"/>
        </w:rPr>
        <w:t xml:space="preserve">Why fifty, and why one is withheld. </w:t>
      </w:r>
      <w:r>
        <w:rPr>
          <w:rFonts w:ascii="Arial" w:cs="Arial" w:eastAsia="Arial" w:hAnsi="Arial"/>
          <w:b w:val="false"/>
          <w:bCs w:val="false"/>
          <w:sz w:val="22"/>
          <w:szCs w:val="22"/>
          <w:rtl w:val="false"/>
        </w:rPr>
        <w:t xml:space="preserve">Fifty is the number of freedom and return: the Yovel/Jubilee ("you shall proclaim liberty," Lev 25:10) and teshuvah, which the Zohar locates in Binah. The letter nun = 50. Moses attained 49; the fiftieth — knowledge of Ein Sof — is withheld from every creature (granted, on one reading, only at Moses’ death, or reserved for the Messianic future). Gates 1 and 50 bracket the whole human project. </w:t>
      </w:r>
      <w:r>
        <w:rPr>
          <w:rFonts w:ascii="Arial" w:cs="Arial" w:eastAsia="Arial" w:hAnsi="Arial"/>
          <w:b/>
          <w:bCs/>
          <w:sz w:val="22"/>
          <w:szCs w:val="22"/>
          <w:rtl w:val="false"/>
        </w:rPr>
        <w:t xml:space="preserve">【Source for Yovel and RH 21b】; teshuvah-in-Binah and the death/Messianic readings 【Kabbalists】</w:t>
      </w:r>
    </w:p>
    <w:p>
      <w:pPr>
        <w:pStyle w:val="Heading2"/>
        <w:spacing w:after="110" w:before="220"/>
      </w:pPr>
      <w:r>
        <w:rPr>
          <w:rFonts w:ascii="Arial" w:cs="Arial" w:eastAsia="Arial" w:hAnsi="Arial"/>
          <w:b/>
          <w:bCs/>
          <w:sz w:val="26"/>
          <w:szCs w:val="26"/>
        </w:rPr>
        <w:t xml:space="preserve">The two Gate 1’s, side by side · 【Synthesis】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600"/>
      </w:tblGrid>
      <w:tr>
        <w:tc>
          <w:tcPr>
            <w:tcW w:type="dxa" w:w="2200"/>
            <w:shd w:fill="E7E6E6" w:color="auto" w:val="clear"/>
            <w:tcMar>
              <w:top w:type="dxa" w:w="60"/>
              <w:left w:type="dxa" w:w="90"/>
              <w:bottom w:type="dxa" w:w="60"/>
              <w:right w:type="dxa" w:w="90"/>
            </w:tcMar>
          </w:tcPr>
          <w:p>
            <w:pPr>
              <w:jc w:val="left"/>
            </w:pPr>
            <w:r>
              <w:rPr>
                <w:rFonts w:ascii="Arial" w:cs="Arial" w:eastAsia="Arial" w:hAnsi="Arial"/>
                <w:b/>
                <w:bCs/>
                <w:sz w:val="20"/>
                <w:szCs w:val="20"/>
              </w:rPr>
              <w:t xml:space="preserve"/>
            </w:r>
          </w:p>
        </w:tc>
        <w:tc>
          <w:tcPr>
            <w:tcW w:type="dxa" w:w="3600"/>
            <w:shd w:fill="E7E6E6" w:color="auto" w:val="clear"/>
            <w:tcMar>
              <w:top w:type="dxa" w:w="60"/>
              <w:left w:type="dxa" w:w="90"/>
              <w:bottom w:type="dxa" w:w="60"/>
              <w:right w:type="dxa" w:w="90"/>
            </w:tcMar>
          </w:tcPr>
          <w:p>
            <w:pPr>
              <w:jc w:val="left"/>
            </w:pPr>
            <w:r>
              <w:rPr>
                <w:rFonts w:ascii="Arial" w:cs="Arial" w:eastAsia="Arial" w:hAnsi="Arial"/>
                <w:b/>
                <w:bCs/>
                <w:sz w:val="20"/>
                <w:szCs w:val="20"/>
              </w:rPr>
              <w:t xml:space="preserve">Track A (halakhic)</w:t>
            </w:r>
          </w:p>
        </w:tc>
        <w:tc>
          <w:tcPr>
            <w:tcW w:type="dxa" w:w="3600"/>
            <w:shd w:fill="E7E6E6" w:color="auto" w:val="clear"/>
            <w:tcMar>
              <w:top w:type="dxa" w:w="60"/>
              <w:left w:type="dxa" w:w="90"/>
              <w:bottom w:type="dxa" w:w="60"/>
              <w:right w:type="dxa" w:w="90"/>
            </w:tcMar>
          </w:tcPr>
          <w:p>
            <w:pPr>
              <w:jc w:val="left"/>
            </w:pPr>
            <w:r>
              <w:rPr>
                <w:rFonts w:ascii="Arial" w:cs="Arial" w:eastAsia="Arial" w:hAnsi="Arial"/>
                <w:b/>
                <w:bCs/>
                <w:sz w:val="20"/>
                <w:szCs w:val="20"/>
              </w:rPr>
              <w:t xml:space="preserve">Track B (mystical)</w:t>
            </w:r>
          </w:p>
        </w:tc>
      </w:tr>
      <w:tr>
        <w:tc>
          <w:tcPr>
            <w:tcW w:type="dxa" w:w="2200"/>
            <w:tcMar>
              <w:top w:type="dxa" w:w="60"/>
              <w:left w:type="dxa" w:w="90"/>
              <w:bottom w:type="dxa" w:w="60"/>
              <w:right w:type="dxa" w:w="90"/>
            </w:tcMar>
          </w:tcPr>
          <w:p>
            <w:pPr>
              <w:jc w:val="left"/>
            </w:pPr>
            <w:r>
              <w:rPr>
                <w:rFonts w:ascii="Arial" w:cs="Arial" w:eastAsia="Arial" w:hAnsi="Arial"/>
                <w:b w:val="false"/>
                <w:bCs w:val="false"/>
                <w:sz w:val="20"/>
                <w:szCs w:val="20"/>
              </w:rPr>
              <w:t xml:space="preserve">The gate</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Definition of what an oath is</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Foundation of created matter</w:t>
            </w:r>
          </w:p>
        </w:tc>
      </w:tr>
      <w:tr>
        <w:tc>
          <w:tcPr>
            <w:tcW w:type="dxa" w:w="2200"/>
            <w:tcMar>
              <w:top w:type="dxa" w:w="60"/>
              <w:left w:type="dxa" w:w="90"/>
              <w:bottom w:type="dxa" w:w="60"/>
              <w:right w:type="dxa" w:w="90"/>
            </w:tcMar>
          </w:tcPr>
          <w:p>
            <w:pPr>
              <w:jc w:val="left"/>
            </w:pPr>
            <w:r>
              <w:rPr>
                <w:rFonts w:ascii="Arial" w:cs="Arial" w:eastAsia="Arial" w:hAnsi="Arial"/>
                <w:b w:val="false"/>
                <w:bCs w:val="false"/>
                <w:sz w:val="20"/>
                <w:szCs w:val="20"/>
              </w:rPr>
              <w:t xml:space="preserve">Its role</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Trunk before nineteen branches</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First rung before the 49-gate ascent</w:t>
            </w:r>
          </w:p>
        </w:tc>
      </w:tr>
      <w:tr>
        <w:tc>
          <w:tcPr>
            <w:tcW w:type="dxa" w:w="2200"/>
            <w:tcMar>
              <w:top w:type="dxa" w:w="60"/>
              <w:left w:type="dxa" w:w="90"/>
              <w:bottom w:type="dxa" w:w="60"/>
              <w:right w:type="dxa" w:w="90"/>
            </w:tcMar>
          </w:tcPr>
          <w:p>
            <w:pPr>
              <w:jc w:val="left"/>
            </w:pPr>
            <w:r>
              <w:rPr>
                <w:rFonts w:ascii="Arial" w:cs="Arial" w:eastAsia="Arial" w:hAnsi="Arial"/>
                <w:b w:val="false"/>
                <w:bCs w:val="false"/>
                <w:sz w:val="20"/>
                <w:szCs w:val="20"/>
              </w:rPr>
              <w:t xml:space="preserve">The "entry"</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Is this a valid oath?</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First step up from the 49 gates of impurity</w:t>
            </w:r>
          </w:p>
        </w:tc>
      </w:tr>
      <w:tr>
        <w:tc>
          <w:tcPr>
            <w:tcW w:type="dxa" w:w="2200"/>
            <w:tcMar>
              <w:top w:type="dxa" w:w="60"/>
              <w:left w:type="dxa" w:w="90"/>
              <w:bottom w:type="dxa" w:w="60"/>
              <w:right w:type="dxa" w:w="90"/>
            </w:tcMar>
          </w:tcPr>
          <w:p>
            <w:pPr>
              <w:jc w:val="left"/>
            </w:pPr>
            <w:r>
              <w:rPr>
                <w:rFonts w:ascii="Arial" w:cs="Arial" w:eastAsia="Arial" w:hAnsi="Arial"/>
                <w:b w:val="false"/>
                <w:bCs w:val="false"/>
                <w:sz w:val="20"/>
                <w:szCs w:val="20"/>
              </w:rPr>
              <w:t xml:space="preserve">Shared idea</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A threshold you must cross before anything else is meaningful</w:t>
            </w:r>
          </w:p>
        </w:tc>
        <w:tc>
          <w:tcPr>
            <w:tcW w:type="dxa" w:w="3600"/>
            <w:tcMar>
              <w:top w:type="dxa" w:w="60"/>
              <w:left w:type="dxa" w:w="90"/>
              <w:bottom w:type="dxa" w:w="60"/>
              <w:right w:type="dxa" w:w="90"/>
            </w:tcMar>
          </w:tcPr>
          <w:p>
            <w:pPr>
              <w:jc w:val="left"/>
            </w:pPr>
            <w:r>
              <w:rPr>
                <w:rFonts w:ascii="Arial" w:cs="Arial" w:eastAsia="Arial" w:hAnsi="Arial"/>
                <w:b w:val="false"/>
                <w:bCs w:val="false"/>
                <w:sz w:val="20"/>
                <w:szCs w:val="20"/>
              </w:rPr>
              <w:t xml:space="preserve">(same)</w:t>
            </w:r>
          </w:p>
        </w:tc>
      </w:tr>
    </w:tbl>
    <w:p>
      <w:pPr>
        <w:spacing w:after="120" w:line="288"/>
        <w:jc w:val="both"/>
      </w:pPr>
      <w:r>
        <w:rPr>
          <w:rFonts w:ascii="Arial" w:cs="Arial" w:eastAsia="Arial" w:hAnsi="Arial"/>
          <w:b w:val="false"/>
          <w:bCs w:val="false"/>
          <w:sz w:val="22"/>
          <w:szCs w:val="22"/>
          <w:rtl w:val="false"/>
        </w:rPr>
        <w:t xml:space="preserve">Both traditions, independently, make their first gate the foundational one — a definition/ground on which every later gate silently rests. This structural rhyme (not a historical link) is the through-line we will follow as we climb. 【Synthesis】</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2026-08-31T01:57:11.945Z</dcterms:created>
  <dcterms:modified xsi:type="dcterms:W3CDTF">2026-08-31T01:57:11.946Z</dcterms:modified>
</cp:coreProperties>
</file>

<file path=docProps/custom.xml><?xml version="1.0" encoding="utf-8"?>
<Properties xmlns="http://schemas.openxmlformats.org/officeDocument/2006/custom-properties" xmlns:vt="http://schemas.openxmlformats.org/officeDocument/2006/docPropsVTypes"/>
</file>