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bidi/>
        <w:spacing w:after="120"/>
        <w:jc w:val="center"/>
      </w:pPr>
      <w:r>
        <w:rPr>
          <w:rFonts w:ascii="Arial" w:cs="Arial" w:eastAsia="Arial" w:hAnsi="Arial"/>
          <w:b/>
          <w:bCs/>
          <w:sz w:val="40"/>
          <w:szCs w:val="40"/>
          <w:rtl/>
        </w:rPr>
        <w:t xml:space="preserve">חמישים שערי בינה — מדריך לימוד מעמיק</w:t>
      </w:r>
    </w:p>
    <w:p>
      <w:pPr>
        <w:bidi/>
        <w:spacing w:after="220"/>
        <w:jc w:val="center"/>
      </w:pPr>
      <w:r>
        <w:rPr>
          <w:rFonts w:ascii="Arial" w:cs="Arial" w:eastAsia="Arial" w:hAnsi="Arial"/>
          <w:i/>
          <w:iCs/>
          <w:sz w:val="24"/>
          <w:szCs w:val="24"/>
          <w:rtl/>
        </w:rPr>
        <w:t xml:space="preserve">מסלול א׳ (הלכתי) ומסלול ב׳ (קבלי) · שער אחר שער</w:t>
      </w:r>
    </w:p>
    <w:p>
      <w:pPr>
        <w:pStyle w:val="Heading1"/>
        <w:bidi/>
        <w:spacing w:after="140" w:before="280"/>
        <w:jc w:val="right"/>
      </w:pPr>
      <w:r>
        <w:rPr>
          <w:rFonts w:ascii="Arial" w:cs="Arial" w:eastAsia="Arial" w:hAnsi="Arial"/>
          <w:b/>
          <w:bCs/>
          <w:sz w:val="32"/>
          <w:szCs w:val="32"/>
          <w:rtl/>
        </w:rPr>
        <w:t xml:space="preserve">פתיחה — שני "שערי בינה", ואין לבלבל ביניהם</w:t>
      </w:r>
    </w:p>
    <w:p>
      <w:pPr>
        <w:bidi/>
        <w:spacing w:after="120" w:line="288"/>
        <w:jc w:val="both"/>
      </w:pPr>
      <w:r>
        <w:rPr>
          <w:rFonts w:ascii="Arial" w:cs="Arial" w:eastAsia="Arial" w:hAnsi="Arial"/>
          <w:b w:val="false"/>
          <w:bCs w:val="false"/>
          <w:sz w:val="22"/>
          <w:szCs w:val="22"/>
          <w:rtl/>
        </w:rPr>
        <w:t xml:space="preserve">בקשתך נוגעת לשני דברים שונים לחלוטין שנקראים שניהם "שערי בינה". מדריך זה עוסק בשניהם, בשני מסלולים מקבילים ונפרדים:</w:t>
      </w:r>
    </w:p>
    <w:p>
      <w:pPr>
        <w:pStyle w:val="ListParagraph"/>
        <w:numPr>
          <w:ilvl w:val="0"/>
          <w:numId w:val="1"/>
        </w:numPr>
        <w:bidi/>
        <w:spacing w:after="60" w:line="276"/>
        <w:jc w:val="right"/>
      </w:pPr>
      <w:r>
        <w:rPr>
          <w:rFonts w:ascii="Arial" w:cs="Arial" w:eastAsia="Arial" w:hAnsi="Arial"/>
          <w:b/>
          <w:bCs/>
          <w:sz w:val="22"/>
          <w:szCs w:val="22"/>
          <w:rtl/>
        </w:rPr>
        <w:t xml:space="preserve">מסלול א׳ — ספר שערי בינה ההלכתי: </w:t>
      </w:r>
      <w:r>
        <w:rPr>
          <w:rFonts w:ascii="Arial" w:cs="Arial" w:eastAsia="Arial" w:hAnsi="Arial"/>
          <w:b w:val="false"/>
          <w:bCs w:val="false"/>
          <w:sz w:val="22"/>
          <w:szCs w:val="22"/>
          <w:rtl/>
        </w:rPr>
        <w:t xml:space="preserve">ביאור הרב יואב ב"ר ירמיה רוזנבוים ממטרסדורף (וינה תקנ"ב, 1792, 182 עמ׳) על "ספר שערי שבועות" המיוחס לרי"ף — ובמחקר המודרני לר׳ יצחק ב"ר ראובן אלברג׳לוני מברצלונה, מן המאה הי"א. הספר עוסק בדיני שבועות בממון (חושן משפט), ובנוי בעשרים שערים (ושער כ׳ מחולק לשלושים דינים). זהו הספר שבקבצים שלך — ולכן במסלול זה אני מציין מקור ועמוד.</w:t>
      </w:r>
    </w:p>
    <w:p>
      <w:pPr>
        <w:pStyle w:val="ListParagraph"/>
        <w:numPr>
          <w:ilvl w:val="0"/>
          <w:numId w:val="1"/>
        </w:numPr>
        <w:bidi/>
        <w:spacing w:after="60" w:line="276"/>
        <w:jc w:val="right"/>
      </w:pPr>
      <w:r>
        <w:rPr>
          <w:rFonts w:ascii="Arial" w:cs="Arial" w:eastAsia="Arial" w:hAnsi="Arial"/>
          <w:b/>
          <w:bCs/>
          <w:sz w:val="22"/>
          <w:szCs w:val="22"/>
          <w:rtl/>
        </w:rPr>
        <w:t xml:space="preserve">מסלול ב׳ — נ׳ שערי בינה הקבליים: </w:t>
      </w:r>
      <w:r>
        <w:rPr>
          <w:rFonts w:ascii="Arial" w:cs="Arial" w:eastAsia="Arial" w:hAnsi="Arial"/>
          <w:b w:val="false"/>
          <w:bCs w:val="false"/>
          <w:sz w:val="22"/>
          <w:szCs w:val="22"/>
          <w:rtl/>
        </w:rPr>
        <w:t xml:space="preserve">חמישים שערי הבינה המיסטיים (ראש השנה כ"א ע"ב, ספר יצירה, זוהר, רמב"ן, האר"י, רמח"ל). נושא זה אינו מצוי בקבצים שלך, ולכן במסלול זה אני מצטט ישירות מן המקורות הקבליים הקלאסיים.</w:t>
      </w:r>
    </w:p>
    <w:p>
      <w:pPr>
        <w:bidi/>
        <w:spacing w:after="120" w:line="288"/>
        <w:jc w:val="both"/>
      </w:pPr>
      <w:r>
        <w:rPr>
          <w:rFonts w:ascii="Arial" w:cs="Arial" w:eastAsia="Arial" w:hAnsi="Arial"/>
          <w:b/>
          <w:bCs/>
          <w:sz w:val="22"/>
          <w:szCs w:val="22"/>
          <w:rtl/>
        </w:rPr>
        <w:t xml:space="preserve">הערה חשובה: </w:t>
      </w:r>
      <w:r>
        <w:rPr>
          <w:rFonts w:ascii="Arial" w:cs="Arial" w:eastAsia="Arial" w:hAnsi="Arial"/>
          <w:b w:val="false"/>
          <w:bCs w:val="false"/>
          <w:sz w:val="22"/>
          <w:szCs w:val="22"/>
          <w:rtl/>
        </w:rPr>
        <w:t xml:space="preserve">השם "שערי בינה" שעל הספר ההלכתי הוא לשון נופל על לשון — ה"בינה" היא ביאורו של המחבר, הפותח את "שערי שבועות" הקדום והקשה. אין לספר זה קשר לחמישים שערי הבינה הקבליים.</w:t>
      </w:r>
    </w:p>
    <w:p>
      <w:pPr>
        <w:bidi/>
        <w:spacing w:after="120" w:line="288"/>
        <w:jc w:val="both"/>
      </w:pPr>
      <w:r>
        <w:rPr>
          <w:rFonts w:ascii="Arial" w:cs="Arial" w:eastAsia="Arial" w:hAnsi="Arial"/>
          <w:b/>
          <w:bCs/>
          <w:sz w:val="22"/>
          <w:szCs w:val="22"/>
          <w:rtl/>
        </w:rPr>
        <w:t xml:space="preserve">הערה טכנית: </w:t>
      </w:r>
      <w:r>
        <w:rPr>
          <w:rFonts w:ascii="Arial" w:cs="Arial" w:eastAsia="Arial" w:hAnsi="Arial"/>
          <w:b w:val="false"/>
          <w:bCs w:val="false"/>
          <w:sz w:val="22"/>
          <w:szCs w:val="22"/>
          <w:rtl/>
        </w:rPr>
        <w:t xml:space="preserve">קובץ ה־PDF שלך הוא סריקה בלבד (ללא שכבת טקסט), ולכן במסלול א׳ אני מסתמך על הסיכום המפורט עמוד־עמוד שסיפקת ("שערי_בינה_סיכום.docx") ועל המקורות ההלכתיים שאליהם הוא מפנה — ולא על זיהוי־תווים (OCR) של הסריקה. מספרי העמודים מפנים לקובץ "Hebrewbooks_org_43379.pdf".</w:t>
      </w:r>
    </w:p>
    <w:p>
      <w:pPr>
        <w:pStyle w:val="Heading2"/>
        <w:bidi/>
        <w:spacing w:after="110" w:before="220"/>
        <w:jc w:val="right"/>
      </w:pPr>
      <w:r>
        <w:rPr>
          <w:rFonts w:ascii="Arial" w:cs="Arial" w:eastAsia="Arial" w:hAnsi="Arial"/>
          <w:b/>
          <w:bCs/>
          <w:sz w:val="26"/>
          <w:szCs w:val="26"/>
          <w:rtl/>
        </w:rPr>
        <w:t xml:space="preserve">מקרא התיוגים</w:t>
      </w:r>
    </w:p>
    <w:p>
      <w:pPr>
        <w:pStyle w:val="ListParagraph"/>
        <w:numPr>
          <w:ilvl w:val="0"/>
          <w:numId w:val="1"/>
        </w:numPr>
        <w:bidi/>
        <w:spacing w:after="60" w:line="276"/>
        <w:jc w:val="right"/>
      </w:pPr>
      <w:r>
        <w:rPr>
          <w:rFonts w:ascii="Arial" w:cs="Arial" w:eastAsia="Arial" w:hAnsi="Arial"/>
          <w:b/>
          <w:bCs/>
          <w:sz w:val="22"/>
          <w:szCs w:val="22"/>
          <w:rtl/>
        </w:rPr>
        <w:t xml:space="preserve">【מקור】 — </w:t>
      </w:r>
      <w:r>
        <w:rPr>
          <w:rFonts w:ascii="Arial" w:cs="Arial" w:eastAsia="Arial" w:hAnsi="Arial"/>
          <w:b w:val="false"/>
          <w:bCs w:val="false"/>
          <w:sz w:val="22"/>
          <w:szCs w:val="22"/>
          <w:rtl/>
        </w:rPr>
        <w:t xml:space="preserve">מפורש במקור קלאסי (תנ"ך, תלמוד, מדרש, ספר יצירה, זוהר, רי"ף, רמב"ם...).</w:t>
      </w:r>
    </w:p>
    <w:p>
      <w:pPr>
        <w:pStyle w:val="ListParagraph"/>
        <w:numPr>
          <w:ilvl w:val="0"/>
          <w:numId w:val="1"/>
        </w:numPr>
        <w:bidi/>
        <w:spacing w:after="60" w:line="276"/>
        <w:jc w:val="right"/>
      </w:pPr>
      <w:r>
        <w:rPr>
          <w:rFonts w:ascii="Arial" w:cs="Arial" w:eastAsia="Arial" w:hAnsi="Arial"/>
          <w:b/>
          <w:bCs/>
          <w:sz w:val="22"/>
          <w:szCs w:val="22"/>
          <w:rtl/>
        </w:rPr>
        <w:t xml:space="preserve">【מקובלים】 — </w:t>
      </w:r>
      <w:r>
        <w:rPr>
          <w:rFonts w:ascii="Arial" w:cs="Arial" w:eastAsia="Arial" w:hAnsi="Arial"/>
          <w:b w:val="false"/>
          <w:bCs w:val="false"/>
          <w:sz w:val="22"/>
          <w:szCs w:val="22"/>
          <w:rtl/>
        </w:rPr>
        <w:t xml:space="preserve">פרשנות מסורתית של מקובל מאוחר או פוסק מאוחר.</w:t>
      </w:r>
    </w:p>
    <w:p>
      <w:pPr>
        <w:pStyle w:val="ListParagraph"/>
        <w:numPr>
          <w:ilvl w:val="0"/>
          <w:numId w:val="1"/>
        </w:numPr>
        <w:bidi/>
        <w:spacing w:after="60" w:line="276"/>
        <w:jc w:val="right"/>
      </w:pPr>
      <w:r>
        <w:rPr>
          <w:rFonts w:ascii="Arial" w:cs="Arial" w:eastAsia="Arial" w:hAnsi="Arial"/>
          <w:b/>
          <w:bCs/>
          <w:sz w:val="22"/>
          <w:szCs w:val="22"/>
          <w:rtl/>
        </w:rPr>
        <w:t xml:space="preserve">【מחקר】 — </w:t>
      </w:r>
      <w:r>
        <w:rPr>
          <w:rFonts w:ascii="Arial" w:cs="Arial" w:eastAsia="Arial" w:hAnsi="Arial"/>
          <w:b w:val="false"/>
          <w:bCs w:val="false"/>
          <w:sz w:val="22"/>
          <w:szCs w:val="22"/>
          <w:rtl/>
        </w:rPr>
        <w:t xml:space="preserve">הערה מחקרית / היסטורית.</w:t>
      </w:r>
    </w:p>
    <w:p>
      <w:pPr>
        <w:pStyle w:val="ListParagraph"/>
        <w:numPr>
          <w:ilvl w:val="0"/>
          <w:numId w:val="1"/>
        </w:numPr>
        <w:bidi/>
        <w:spacing w:after="60" w:line="276"/>
        <w:jc w:val="right"/>
      </w:pPr>
      <w:r>
        <w:rPr>
          <w:rFonts w:ascii="Arial" w:cs="Arial" w:eastAsia="Arial" w:hAnsi="Arial"/>
          <w:b/>
          <w:bCs/>
          <w:sz w:val="22"/>
          <w:szCs w:val="22"/>
          <w:rtl/>
        </w:rPr>
        <w:t xml:space="preserve">【סינתזה】 — </w:t>
      </w:r>
      <w:r>
        <w:rPr>
          <w:rFonts w:ascii="Arial" w:cs="Arial" w:eastAsia="Arial" w:hAnsi="Arial"/>
          <w:b w:val="false"/>
          <w:bCs w:val="false"/>
          <w:sz w:val="22"/>
          <w:szCs w:val="22"/>
          <w:rtl/>
        </w:rPr>
        <w:t xml:space="preserve">סינתזה, השוואה או חיבור משלי.</w:t>
      </w:r>
    </w:p>
    <w:p>
      <w:pPr>
        <w:pStyle w:val="Heading2"/>
        <w:bidi/>
        <w:spacing w:after="110" w:before="220"/>
        <w:jc w:val="right"/>
      </w:pPr>
      <w:r>
        <w:rPr>
          <w:rFonts w:ascii="Arial" w:cs="Arial" w:eastAsia="Arial" w:hAnsi="Arial"/>
          <w:b/>
          <w:bCs/>
          <w:sz w:val="26"/>
          <w:szCs w:val="26"/>
          <w:rtl/>
        </w:rPr>
        <w:t xml:space="preserve">מבנה המדריך</w:t>
      </w:r>
    </w:p>
    <w:p>
      <w:pPr>
        <w:bidi/>
        <w:spacing w:after="120" w:line="288"/>
        <w:jc w:val="both"/>
      </w:pPr>
      <w:r>
        <w:rPr>
          <w:rFonts w:ascii="Arial" w:cs="Arial" w:eastAsia="Arial" w:hAnsi="Arial"/>
          <w:b w:val="false"/>
          <w:bCs w:val="false"/>
          <w:sz w:val="22"/>
          <w:szCs w:val="22"/>
          <w:rtl/>
        </w:rPr>
        <w:t xml:space="preserve">שני המסלולים אינם שווים במספר (א׳ = 20 שערים; ב׳ = 50 שערים), ולכן נצעד יחד משער א׳ עד שער כ׳ (שני המסלולים בכל שער), ומשער כא עד שער נ ימשיך מסלול ב׳ לבדו. כל טענה נושאת תיוג מקור כמפורט לעיל.</w:t>
      </w:r>
    </w:p>
    <w:p>
      <w:pPr>
        <w:pStyle w:val="Heading1"/>
        <w:bidi/>
        <w:spacing w:after="140" w:before="280"/>
        <w:jc w:val="right"/>
      </w:pPr>
      <w:r>
        <w:rPr>
          <w:rFonts w:ascii="Arial" w:cs="Arial" w:eastAsia="Arial" w:hAnsi="Arial"/>
          <w:b/>
          <w:bCs/>
          <w:sz w:val="32"/>
          <w:szCs w:val="32"/>
          <w:rtl/>
        </w:rPr>
        <w:t xml:space="preserve">שער א</w:t>
      </w:r>
    </w:p>
    <w:p>
      <w:pPr>
        <w:pStyle w:val="Heading2"/>
        <w:bidi/>
        <w:spacing w:after="110" w:before="220"/>
        <w:jc w:val="right"/>
      </w:pPr>
      <w:r>
        <w:rPr>
          <w:rFonts w:ascii="Arial" w:cs="Arial" w:eastAsia="Arial" w:hAnsi="Arial"/>
          <w:b/>
          <w:bCs/>
          <w:sz w:val="26"/>
          <w:szCs w:val="26"/>
          <w:rtl/>
        </w:rPr>
        <w:t xml:space="preserve">מסלול א׳ — ספר שערי בינה (הלכתי) · שער א: מהות השבועה ועיקרה · עמ׳ 5–6</w:t>
      </w:r>
    </w:p>
    <w:p>
      <w:pPr>
        <w:bidi/>
        <w:spacing w:after="120" w:line="288"/>
        <w:jc w:val="both"/>
      </w:pPr>
      <w:r>
        <w:rPr>
          <w:rFonts w:ascii="Arial" w:cs="Arial" w:eastAsia="Arial" w:hAnsi="Arial"/>
          <w:b/>
          <w:bCs/>
          <w:sz w:val="22"/>
          <w:szCs w:val="22"/>
          <w:rtl/>
        </w:rPr>
        <w:t xml:space="preserve">מהות השער. </w:t>
      </w:r>
      <w:r>
        <w:rPr>
          <w:rFonts w:ascii="Arial" w:cs="Arial" w:eastAsia="Arial" w:hAnsi="Arial"/>
          <w:b w:val="false"/>
          <w:bCs w:val="false"/>
          <w:sz w:val="22"/>
          <w:szCs w:val="22"/>
          <w:rtl/>
        </w:rPr>
        <w:t xml:space="preserve">שער א הוא השער היחיד בכל הספר שאינו פוסק במקרה ממוני מסוים, אלא מגדיר את המושג עצמו: מה נחשב "שבועה"? כל שאר תשעה־עשר השערים מניחים הגדרה זו כמובנת מאליה. הסיכום שלך מנסח זאת במדויק: "הבסיס לכל הספר — בלי הגדרת ‘שבועה’ אין משמעות לכל שאר השערים". </w:t>
      </w:r>
      <w:r>
        <w:rPr>
          <w:rFonts w:ascii="Arial" w:cs="Arial" w:eastAsia="Arial" w:hAnsi="Arial"/>
          <w:b/>
          <w:bCs/>
          <w:sz w:val="22"/>
          <w:szCs w:val="22"/>
          <w:rtl/>
        </w:rPr>
        <w:t xml:space="preserve">【מקור — ניסוח הספר עצמו, עמ׳ 5】</w:t>
      </w:r>
    </w:p>
    <w:p>
      <w:pPr>
        <w:bidi/>
        <w:spacing w:after="120" w:line="288"/>
        <w:jc w:val="both"/>
      </w:pPr>
      <w:r>
        <w:rPr>
          <w:rFonts w:ascii="Arial" w:cs="Arial" w:eastAsia="Arial" w:hAnsi="Arial"/>
          <w:b/>
          <w:bCs/>
          <w:sz w:val="22"/>
          <w:szCs w:val="22"/>
          <w:rtl/>
        </w:rPr>
        <w:t xml:space="preserve">הכניסה לשער. </w:t>
      </w:r>
      <w:r>
        <w:rPr>
          <w:rFonts w:ascii="Arial" w:cs="Arial" w:eastAsia="Arial" w:hAnsi="Arial"/>
          <w:b w:val="false"/>
          <w:bCs w:val="false"/>
          <w:sz w:val="22"/>
          <w:szCs w:val="22"/>
          <w:rtl/>
        </w:rPr>
        <w:t xml:space="preserve">נכנסים לשער א בכל פעם שהשאלה היא "האם זו בכלל שבועה?". שלושת המבחנים הנזכרים במקור: (1) הזכרת שם ה׳ או כינוי; (2) לשון אלה; (3) קבלה בפה של הנשבע. </w:t>
      </w:r>
      <w:r>
        <w:rPr>
          <w:rFonts w:ascii="Arial" w:cs="Arial" w:eastAsia="Arial" w:hAnsi="Arial"/>
          <w:b/>
          <w:bCs/>
          <w:sz w:val="22"/>
          <w:szCs w:val="22"/>
          <w:rtl/>
        </w:rPr>
        <w:t xml:space="preserve">【מקור, עמ׳ 5】</w:t>
      </w:r>
    </w:p>
    <w:p>
      <w:pPr>
        <w:bidi/>
        <w:spacing w:after="120" w:line="288"/>
        <w:jc w:val="both"/>
      </w:pPr>
      <w:r>
        <w:rPr>
          <w:rFonts w:ascii="Arial" w:cs="Arial" w:eastAsia="Arial" w:hAnsi="Arial"/>
          <w:b/>
          <w:bCs/>
          <w:sz w:val="22"/>
          <w:szCs w:val="22"/>
          <w:rtl/>
        </w:rPr>
        <w:t xml:space="preserve">דוגמה מעשית (מתוך 50.docx). </w:t>
      </w:r>
      <w:r>
        <w:rPr>
          <w:rFonts w:ascii="Arial" w:cs="Arial" w:eastAsia="Arial" w:hAnsi="Arial"/>
          <w:b w:val="false"/>
          <w:bCs w:val="false"/>
          <w:sz w:val="22"/>
          <w:szCs w:val="22"/>
          <w:rtl/>
        </w:rPr>
        <w:t xml:space="preserve">נתבע מכריז בבית דין: "הריני נשבע בה׳ שאיני חייב לך כלום". הדיין פונה לשער א כדי לוודא שזו אכן שבועה: האם הוזכר שם (או כינוי)? האם הייתה לשון קבלה? האם נעשתה בעמידה/ישיבה כדין? רק אז יש לה תוקף ומשקל של שבועה. </w:t>
      </w:r>
      <w:r>
        <w:rPr>
          <w:rFonts w:ascii="Arial" w:cs="Arial" w:eastAsia="Arial" w:hAnsi="Arial"/>
          <w:b/>
          <w:bCs/>
          <w:sz w:val="22"/>
          <w:szCs w:val="22"/>
          <w:rtl/>
        </w:rPr>
        <w:t xml:space="preserve">【מקור, סיכום §שער א】</w:t>
      </w:r>
    </w:p>
    <w:p>
      <w:pPr>
        <w:bidi/>
        <w:spacing w:after="120" w:line="288"/>
        <w:jc w:val="both"/>
      </w:pPr>
      <w:r>
        <w:rPr>
          <w:rFonts w:ascii="Arial" w:cs="Arial" w:eastAsia="Arial" w:hAnsi="Arial"/>
          <w:b/>
          <w:bCs/>
          <w:sz w:val="22"/>
          <w:szCs w:val="22"/>
          <w:rtl/>
        </w:rPr>
        <w:t xml:space="preserve">שש בחינות השבועה. </w:t>
      </w:r>
      <w:r>
        <w:rPr>
          <w:rFonts w:ascii="Arial" w:cs="Arial" w:eastAsia="Arial" w:hAnsi="Arial"/>
          <w:b w:val="false"/>
          <w:bCs w:val="false"/>
          <w:sz w:val="22"/>
          <w:szCs w:val="22"/>
          <w:rtl/>
        </w:rPr>
        <w:t xml:space="preserve">עמ׳ 5 כבר מקדים את ששת הסוגים ששער ב מונה, ומהווה גשר מ"מהי שבועה" ל"כמה סוגים יש":</w:t>
      </w:r>
    </w:p>
    <w:p>
      <w:pPr>
        <w:pStyle w:val="ListParagraph"/>
        <w:numPr>
          <w:ilvl w:val="0"/>
          <w:numId w:val="1"/>
        </w:numPr>
        <w:bidi/>
        <w:spacing w:after="60" w:line="276"/>
        <w:jc w:val="right"/>
      </w:pPr>
      <w:r>
        <w:rPr>
          <w:rFonts w:ascii="Arial" w:cs="Arial" w:eastAsia="Arial" w:hAnsi="Arial"/>
          <w:b/>
          <w:bCs/>
          <w:sz w:val="22"/>
          <w:szCs w:val="22"/>
          <w:rtl/>
        </w:rPr>
        <w:t xml:space="preserve">שבועת ביטוי — </w:t>
      </w:r>
      <w:r>
        <w:rPr>
          <w:rFonts w:ascii="Arial" w:cs="Arial" w:eastAsia="Arial" w:hAnsi="Arial"/>
          <w:b w:val="false"/>
          <w:bCs w:val="false"/>
          <w:sz w:val="22"/>
          <w:szCs w:val="22"/>
          <w:rtl/>
        </w:rPr>
        <w:t xml:space="preserve">נדר אישי לעשות/לא לעשות (ויקרא ה,ד). </w:t>
      </w:r>
      <w:r>
        <w:rPr>
          <w:rFonts w:ascii="Arial" w:cs="Arial" w:eastAsia="Arial" w:hAnsi="Arial"/>
          <w:b/>
          <w:bCs/>
          <w:sz w:val="22"/>
          <w:szCs w:val="22"/>
          <w:rtl/>
        </w:rPr>
        <w:t xml:space="preserve">【מקור】</w:t>
      </w:r>
    </w:p>
    <w:p>
      <w:pPr>
        <w:pStyle w:val="ListParagraph"/>
        <w:numPr>
          <w:ilvl w:val="0"/>
          <w:numId w:val="1"/>
        </w:numPr>
        <w:bidi/>
        <w:spacing w:after="60" w:line="276"/>
        <w:jc w:val="right"/>
      </w:pPr>
      <w:r>
        <w:rPr>
          <w:rFonts w:ascii="Arial" w:cs="Arial" w:eastAsia="Arial" w:hAnsi="Arial"/>
          <w:b/>
          <w:bCs/>
          <w:sz w:val="22"/>
          <w:szCs w:val="22"/>
          <w:rtl/>
        </w:rPr>
        <w:t xml:space="preserve">שבועת שוא — </w:t>
      </w:r>
      <w:r>
        <w:rPr>
          <w:rFonts w:ascii="Arial" w:cs="Arial" w:eastAsia="Arial" w:hAnsi="Arial"/>
          <w:b w:val="false"/>
          <w:bCs w:val="false"/>
          <w:sz w:val="22"/>
          <w:szCs w:val="22"/>
          <w:rtl/>
        </w:rPr>
        <w:t xml:space="preserve">הדיבר השלישי, "לא תשא את שם ה׳ אלהיך לשוא" (שמות כ,ז). </w:t>
      </w:r>
      <w:r>
        <w:rPr>
          <w:rFonts w:ascii="Arial" w:cs="Arial" w:eastAsia="Arial" w:hAnsi="Arial"/>
          <w:b/>
          <w:bCs/>
          <w:sz w:val="22"/>
          <w:szCs w:val="22"/>
          <w:rtl/>
        </w:rPr>
        <w:t xml:space="preserve">【מקור】</w:t>
      </w:r>
    </w:p>
    <w:p>
      <w:pPr>
        <w:pStyle w:val="ListParagraph"/>
        <w:numPr>
          <w:ilvl w:val="0"/>
          <w:numId w:val="1"/>
        </w:numPr>
        <w:bidi/>
        <w:spacing w:after="60" w:line="276"/>
        <w:jc w:val="right"/>
      </w:pPr>
      <w:r>
        <w:rPr>
          <w:rFonts w:ascii="Arial" w:cs="Arial" w:eastAsia="Arial" w:hAnsi="Arial"/>
          <w:b/>
          <w:bCs/>
          <w:sz w:val="22"/>
          <w:szCs w:val="22"/>
          <w:rtl/>
        </w:rPr>
        <w:t xml:space="preserve">שבועת הפקדון — </w:t>
      </w:r>
      <w:r>
        <w:rPr>
          <w:rFonts w:ascii="Arial" w:cs="Arial" w:eastAsia="Arial" w:hAnsi="Arial"/>
          <w:b w:val="false"/>
          <w:bCs w:val="false"/>
          <w:sz w:val="22"/>
          <w:szCs w:val="22"/>
          <w:rtl/>
        </w:rPr>
        <w:t xml:space="preserve">כפירה בפיקדון / תביעת ממון (ויקרא ה,כא–כד). </w:t>
      </w:r>
      <w:r>
        <w:rPr>
          <w:rFonts w:ascii="Arial" w:cs="Arial" w:eastAsia="Arial" w:hAnsi="Arial"/>
          <w:b/>
          <w:bCs/>
          <w:sz w:val="22"/>
          <w:szCs w:val="22"/>
          <w:rtl/>
        </w:rPr>
        <w:t xml:space="preserve">【מקור】</w:t>
      </w:r>
    </w:p>
    <w:p>
      <w:pPr>
        <w:pStyle w:val="ListParagraph"/>
        <w:numPr>
          <w:ilvl w:val="0"/>
          <w:numId w:val="1"/>
        </w:numPr>
        <w:bidi/>
        <w:spacing w:after="60" w:line="276"/>
        <w:jc w:val="right"/>
      </w:pPr>
      <w:r>
        <w:rPr>
          <w:rFonts w:ascii="Arial" w:cs="Arial" w:eastAsia="Arial" w:hAnsi="Arial"/>
          <w:b/>
          <w:bCs/>
          <w:sz w:val="22"/>
          <w:szCs w:val="22"/>
          <w:rtl/>
        </w:rPr>
        <w:t xml:space="preserve">שבועת העדות — </w:t>
      </w:r>
      <w:r>
        <w:rPr>
          <w:rFonts w:ascii="Arial" w:cs="Arial" w:eastAsia="Arial" w:hAnsi="Arial"/>
          <w:b w:val="false"/>
          <w:bCs w:val="false"/>
          <w:sz w:val="22"/>
          <w:szCs w:val="22"/>
          <w:rtl/>
        </w:rPr>
        <w:t xml:space="preserve">עד הכופר בידיעתו (ויקרא ה,א). </w:t>
      </w:r>
      <w:r>
        <w:rPr>
          <w:rFonts w:ascii="Arial" w:cs="Arial" w:eastAsia="Arial" w:hAnsi="Arial"/>
          <w:b/>
          <w:bCs/>
          <w:sz w:val="22"/>
          <w:szCs w:val="22"/>
          <w:rtl/>
        </w:rPr>
        <w:t xml:space="preserve">【מקור】</w:t>
      </w:r>
    </w:p>
    <w:p>
      <w:pPr>
        <w:pStyle w:val="ListParagraph"/>
        <w:numPr>
          <w:ilvl w:val="0"/>
          <w:numId w:val="1"/>
        </w:numPr>
        <w:bidi/>
        <w:spacing w:after="60" w:line="276"/>
        <w:jc w:val="right"/>
      </w:pPr>
      <w:r>
        <w:rPr>
          <w:rFonts w:ascii="Arial" w:cs="Arial" w:eastAsia="Arial" w:hAnsi="Arial"/>
          <w:b/>
          <w:bCs/>
          <w:sz w:val="22"/>
          <w:szCs w:val="22"/>
          <w:rtl/>
        </w:rPr>
        <w:t xml:space="preserve">שבועת השומרים — </w:t>
      </w:r>
      <w:r>
        <w:rPr>
          <w:rFonts w:ascii="Arial" w:cs="Arial" w:eastAsia="Arial" w:hAnsi="Arial"/>
          <w:b w:val="false"/>
          <w:bCs w:val="false"/>
          <w:sz w:val="22"/>
          <w:szCs w:val="22"/>
          <w:rtl/>
        </w:rPr>
        <w:t xml:space="preserve">(שמות כב,ו–יד). </w:t>
      </w:r>
      <w:r>
        <w:rPr>
          <w:rFonts w:ascii="Arial" w:cs="Arial" w:eastAsia="Arial" w:hAnsi="Arial"/>
          <w:b/>
          <w:bCs/>
          <w:sz w:val="22"/>
          <w:szCs w:val="22"/>
          <w:rtl/>
        </w:rPr>
        <w:t xml:space="preserve">【מקור】</w:t>
      </w:r>
    </w:p>
    <w:p>
      <w:pPr>
        <w:pStyle w:val="ListParagraph"/>
        <w:numPr>
          <w:ilvl w:val="0"/>
          <w:numId w:val="1"/>
        </w:numPr>
        <w:bidi/>
        <w:spacing w:after="60" w:line="276"/>
        <w:jc w:val="right"/>
      </w:pPr>
      <w:r>
        <w:rPr>
          <w:rFonts w:ascii="Arial" w:cs="Arial" w:eastAsia="Arial" w:hAnsi="Arial"/>
          <w:b/>
          <w:bCs/>
          <w:sz w:val="22"/>
          <w:szCs w:val="22"/>
          <w:rtl/>
        </w:rPr>
        <w:t xml:space="preserve">שבועת הדיינים — </w:t>
      </w:r>
      <w:r>
        <w:rPr>
          <w:rFonts w:ascii="Arial" w:cs="Arial" w:eastAsia="Arial" w:hAnsi="Arial"/>
          <w:b w:val="false"/>
          <w:bCs w:val="false"/>
          <w:sz w:val="22"/>
          <w:szCs w:val="22"/>
          <w:rtl/>
        </w:rPr>
        <w:t xml:space="preserve">השבועה שמשביעים בית דין (שבועות לח ע"ב ואילך). </w:t>
      </w:r>
      <w:r>
        <w:rPr>
          <w:rFonts w:ascii="Arial" w:cs="Arial" w:eastAsia="Arial" w:hAnsi="Arial"/>
          <w:b/>
          <w:bCs/>
          <w:sz w:val="22"/>
          <w:szCs w:val="22"/>
          <w:rtl/>
        </w:rPr>
        <w:t xml:space="preserve">【מקור】</w:t>
      </w:r>
    </w:p>
    <w:p>
      <w:pPr>
        <w:bidi/>
        <w:spacing w:after="120" w:line="288"/>
        <w:jc w:val="both"/>
      </w:pPr>
      <w:r>
        <w:rPr>
          <w:rFonts w:ascii="Arial" w:cs="Arial" w:eastAsia="Arial" w:hAnsi="Arial"/>
          <w:b w:val="false"/>
          <w:bCs w:val="false"/>
          <w:sz w:val="22"/>
          <w:szCs w:val="22"/>
          <w:rtl/>
        </w:rPr>
        <w:t xml:space="preserve">המשנה (שבועות פ"ג) מונה ארבע (ביטוי, שוא, פקדון, עדות); שומרים ודיינים הן שבועות בית הדין היישומיות. המחבר כולל את כולן ברשימה ניווטית אחת. </w:t>
      </w:r>
      <w:r>
        <w:rPr>
          <w:rFonts w:ascii="Arial" w:cs="Arial" w:eastAsia="Arial" w:hAnsi="Arial"/>
          <w:b/>
          <w:bCs/>
          <w:sz w:val="22"/>
          <w:szCs w:val="22"/>
          <w:rtl/>
        </w:rPr>
        <w:t xml:space="preserve">【מחקר】</w:t>
      </w:r>
    </w:p>
    <w:p>
      <w:pPr>
        <w:bidi/>
        <w:spacing w:after="120" w:line="288"/>
        <w:jc w:val="both"/>
      </w:pPr>
      <w:r>
        <w:rPr>
          <w:rFonts w:ascii="Arial" w:cs="Arial" w:eastAsia="Arial" w:hAnsi="Arial"/>
          <w:b/>
          <w:bCs/>
          <w:sz w:val="22"/>
          <w:szCs w:val="22"/>
          <w:rtl/>
        </w:rPr>
        <w:t xml:space="preserve">מנגנון "בשם או בכינוי". </w:t>
      </w:r>
      <w:r>
        <w:rPr>
          <w:rFonts w:ascii="Arial" w:cs="Arial" w:eastAsia="Arial" w:hAnsi="Arial"/>
          <w:b w:val="false"/>
          <w:bCs w:val="false"/>
          <w:sz w:val="22"/>
          <w:szCs w:val="22"/>
          <w:rtl/>
        </w:rPr>
        <w:t xml:space="preserve">שהשבועה חלה בשם או בכינוי — משנה שבועות פ"ד מי"ג, והסוגיה בשבועות לה ע"א–ע"ב, ונפסק ברמב"ם הל׳ שבועות פ"ב ה"ב–ה"ד. הכינויים (רחום, חנון, "אלוקי ישראל") מחייבים בדיוק כשם המפורש — הנושא ששער ג מפתח. </w:t>
      </w:r>
      <w:r>
        <w:rPr>
          <w:rFonts w:ascii="Arial" w:cs="Arial" w:eastAsia="Arial" w:hAnsi="Arial"/>
          <w:b/>
          <w:bCs/>
          <w:sz w:val="22"/>
          <w:szCs w:val="22"/>
          <w:rtl/>
        </w:rPr>
        <w:t xml:space="preserve">【מקור】</w:t>
      </w:r>
    </w:p>
    <w:p>
      <w:pPr>
        <w:bidi/>
        <w:spacing w:after="120" w:line="288"/>
        <w:jc w:val="both"/>
      </w:pPr>
      <w:r>
        <w:rPr>
          <w:rFonts w:ascii="Arial" w:cs="Arial" w:eastAsia="Arial" w:hAnsi="Arial"/>
          <w:b/>
          <w:bCs/>
          <w:sz w:val="22"/>
          <w:szCs w:val="22"/>
          <w:rtl/>
        </w:rPr>
        <w:t xml:space="preserve">מה מייחד את השער. </w:t>
      </w:r>
      <w:r>
        <w:rPr>
          <w:rFonts w:ascii="Arial" w:cs="Arial" w:eastAsia="Arial" w:hAnsi="Arial"/>
          <w:b w:val="false"/>
          <w:bCs w:val="false"/>
          <w:sz w:val="22"/>
          <w:szCs w:val="22"/>
          <w:rtl/>
        </w:rPr>
        <w:t xml:space="preserve">הוא הגדרתי ולא מקרי — הגזע; כל שאר השערים הם ענפים. </w:t>
      </w:r>
      <w:r>
        <w:rPr>
          <w:rFonts w:ascii="Arial" w:cs="Arial" w:eastAsia="Arial" w:hAnsi="Arial"/>
          <w:b/>
          <w:bCs/>
          <w:sz w:val="22"/>
          <w:szCs w:val="22"/>
          <w:rtl/>
        </w:rPr>
        <w:t xml:space="preserve">【סינתזה】</w:t>
      </w:r>
    </w:p>
    <w:p>
      <w:pPr>
        <w:bidi/>
        <w:spacing w:after="120" w:line="288"/>
        <w:jc w:val="both"/>
      </w:pPr>
      <w:r>
        <w:rPr>
          <w:rFonts w:ascii="Arial" w:cs="Arial" w:eastAsia="Arial" w:hAnsi="Arial"/>
          <w:b/>
          <w:bCs/>
          <w:sz w:val="22"/>
          <w:szCs w:val="22"/>
          <w:rtl/>
        </w:rPr>
        <w:t xml:space="preserve">היחס לשאר י"ט השערים. </w:t>
      </w:r>
      <w:r>
        <w:rPr>
          <w:rFonts w:ascii="Arial" w:cs="Arial" w:eastAsia="Arial" w:hAnsi="Arial"/>
          <w:b w:val="false"/>
          <w:bCs w:val="false"/>
          <w:sz w:val="22"/>
          <w:szCs w:val="22"/>
          <w:rtl/>
        </w:rPr>
        <w:t xml:space="preserve">שער א (הגדרה) ← שער ב (סוגים) ← שער ג (שם מול כינוי) הם המבוא הרעיוני. משער ד ואילך הספר נעשה מעשי: ממיין כל מקרה לשלושת שרשי שבועת התורה (מודה במקצת, עד אחד, שומרים ← שערים ה, ו, ז), ואז ההרחבות (ח–כ). שער א הוא ההנחה השקטה שבבסיס כולם. </w:t>
      </w:r>
      <w:r>
        <w:rPr>
          <w:rFonts w:ascii="Arial" w:cs="Arial" w:eastAsia="Arial" w:hAnsi="Arial"/>
          <w:b/>
          <w:bCs/>
          <w:sz w:val="22"/>
          <w:szCs w:val="22"/>
          <w:rtl/>
        </w:rPr>
        <w:t xml:space="preserve">【סינתזה】</w:t>
      </w:r>
    </w:p>
    <w:p>
      <w:pPr>
        <w:bidi/>
        <w:spacing w:after="120" w:line="288"/>
        <w:jc w:val="both"/>
      </w:pPr>
      <w:r>
        <w:rPr>
          <w:rFonts w:ascii="Arial" w:cs="Arial" w:eastAsia="Arial" w:hAnsi="Arial"/>
          <w:b/>
          <w:bCs/>
          <w:sz w:val="22"/>
          <w:szCs w:val="22"/>
          <w:rtl/>
        </w:rPr>
        <w:t xml:space="preserve">שכבת האחרונים. </w:t>
      </w:r>
      <w:r>
        <w:rPr>
          <w:rFonts w:ascii="Arial" w:cs="Arial" w:eastAsia="Arial" w:hAnsi="Arial"/>
          <w:b w:val="false"/>
          <w:bCs w:val="false"/>
          <w:sz w:val="22"/>
          <w:szCs w:val="22"/>
          <w:rtl/>
        </w:rPr>
        <w:t xml:space="preserve">ביאורו של ר׳ יואב מקיף את לשון "שערי שבועות" הקצרה בשיטות רש"י, רי"ף, רמב"ם, רמב"ן, רא"ש, ר"ן, טור, בית יוסף, שולחן ערוך, ש"ך, ט"ז; ומפתח הספר "מבוא השערים" (עמ׳ 175–180) מפנה את שער א להלכות שבועות בשולחן ערוך חושן משפט (מסימן פז ואילך). </w:t>
      </w:r>
      <w:r>
        <w:rPr>
          <w:rFonts w:ascii="Arial" w:cs="Arial" w:eastAsia="Arial" w:hAnsi="Arial"/>
          <w:b/>
          <w:bCs/>
          <w:sz w:val="22"/>
          <w:szCs w:val="22"/>
          <w:rtl/>
        </w:rPr>
        <w:t xml:space="preserve">【מקור — המפתח】 </w:t>
      </w:r>
      <w:r>
        <w:rPr>
          <w:rFonts w:ascii="Arial" w:cs="Arial" w:eastAsia="Arial" w:hAnsi="Arial"/>
          <w:b w:val="false"/>
          <w:bCs w:val="false"/>
          <w:sz w:val="22"/>
          <w:szCs w:val="22"/>
          <w:rtl/>
        </w:rPr>
        <w:t xml:space="preserve">ולדיון המיישב </w:t>
      </w:r>
      <w:r>
        <w:rPr>
          <w:rFonts w:ascii="Arial" w:cs="Arial" w:eastAsia="Arial" w:hAnsi="Arial"/>
          <w:b/>
          <w:bCs/>
          <w:sz w:val="22"/>
          <w:szCs w:val="22"/>
          <w:rtl/>
        </w:rPr>
        <w:t xml:space="preserve">【מקובלים】</w:t>
      </w:r>
    </w:p>
    <w:p>
      <w:pPr>
        <w:bidi/>
        <w:spacing w:after="120" w:line="288"/>
        <w:jc w:val="both"/>
      </w:pPr>
      <w:r>
        <w:rPr>
          <w:rFonts w:ascii="Arial" w:cs="Arial" w:eastAsia="Arial" w:hAnsi="Arial"/>
          <w:b/>
          <w:bCs/>
          <w:sz w:val="22"/>
          <w:szCs w:val="22"/>
          <w:rtl/>
        </w:rPr>
        <w:t xml:space="preserve">היבט התבוננותי. </w:t>
      </w:r>
      <w:r>
        <w:rPr>
          <w:rFonts w:ascii="Arial" w:cs="Arial" w:eastAsia="Arial" w:hAnsi="Arial"/>
          <w:b w:val="false"/>
          <w:bCs w:val="false"/>
          <w:sz w:val="22"/>
          <w:szCs w:val="22"/>
          <w:rtl/>
        </w:rPr>
        <w:t xml:space="preserve">הפתיחה בעמ׳ 4 מדגישה את חומרת עוון השבועה וחובת הדיין להתרות. כך שהשער הראשון הוא באמת סף של יראה לפני הזכרת השם. </w:t>
      </w:r>
      <w:r>
        <w:rPr>
          <w:rFonts w:ascii="Arial" w:cs="Arial" w:eastAsia="Arial" w:hAnsi="Arial"/>
          <w:b/>
          <w:bCs/>
          <w:sz w:val="22"/>
          <w:szCs w:val="22"/>
          <w:rtl/>
        </w:rPr>
        <w:t xml:space="preserve">【מקור, עמ׳ 4】</w:t>
      </w:r>
    </w:p>
    <w:p>
      <w:pPr>
        <w:pStyle w:val="Heading2"/>
        <w:bidi/>
        <w:spacing w:after="110" w:before="220"/>
        <w:jc w:val="right"/>
      </w:pPr>
      <w:r>
        <w:rPr>
          <w:rFonts w:ascii="Arial" w:cs="Arial" w:eastAsia="Arial" w:hAnsi="Arial"/>
          <w:b/>
          <w:bCs/>
          <w:sz w:val="26"/>
          <w:szCs w:val="26"/>
          <w:rtl/>
        </w:rPr>
        <w:t xml:space="preserve">מסלול ב׳ — נ׳ שערי בינה (קבלי) · השער הראשון מבין החמישים</w:t>
      </w:r>
    </w:p>
    <w:p>
      <w:pPr>
        <w:bidi/>
        <w:spacing w:after="120" w:line="288"/>
        <w:jc w:val="both"/>
      </w:pPr>
      <w:r>
        <w:rPr>
          <w:rFonts w:ascii="Arial" w:cs="Arial" w:eastAsia="Arial" w:hAnsi="Arial"/>
          <w:b/>
          <w:bCs/>
          <w:sz w:val="22"/>
          <w:szCs w:val="22"/>
          <w:rtl/>
        </w:rPr>
        <w:t xml:space="preserve">המערכת בנשימה אחת. </w:t>
      </w:r>
      <w:r>
        <w:rPr>
          <w:rFonts w:ascii="Arial" w:cs="Arial" w:eastAsia="Arial" w:hAnsi="Arial"/>
          <w:b w:val="false"/>
          <w:bCs w:val="false"/>
          <w:sz w:val="22"/>
          <w:szCs w:val="22"/>
          <w:rtl/>
        </w:rPr>
        <w:t xml:space="preserve">"חמישים שערי בינה נבראו בעולם וכולן ניתנו למשה חסר אחד", הנדרש מן הפסוק "וַתְּחַסְּרֵהוּ מְעַט מֵאֱלֹהִים" (תהלים ח,ו). זו הגמרא בראש השנה כ"א ע"ב, ומקבילתה בנדרים לח ע"א. השערים שייכים לספירת בינה — ההבנה, "אמא עילאה", מקור כל השגה מובחנת. </w:t>
      </w:r>
      <w:r>
        <w:rPr>
          <w:rFonts w:ascii="Arial" w:cs="Arial" w:eastAsia="Arial" w:hAnsi="Arial"/>
          <w:b/>
          <w:bCs/>
          <w:sz w:val="22"/>
          <w:szCs w:val="22"/>
          <w:rtl/>
        </w:rPr>
        <w:t xml:space="preserve">【מקור】</w:t>
      </w:r>
    </w:p>
    <w:p>
      <w:pPr>
        <w:bidi/>
        <w:spacing w:after="120" w:line="288"/>
        <w:jc w:val="both"/>
      </w:pPr>
      <w:r>
        <w:rPr>
          <w:rFonts w:ascii="Arial" w:cs="Arial" w:eastAsia="Arial" w:hAnsi="Arial"/>
          <w:b/>
          <w:bCs/>
          <w:sz w:val="22"/>
          <w:szCs w:val="22"/>
          <w:rtl/>
        </w:rPr>
        <w:t xml:space="preserve">הצמד המסגר. </w:t>
      </w:r>
      <w:r>
        <w:rPr>
          <w:rFonts w:ascii="Arial" w:cs="Arial" w:eastAsia="Arial" w:hAnsi="Arial"/>
          <w:b w:val="false"/>
          <w:bCs w:val="false"/>
          <w:sz w:val="22"/>
          <w:szCs w:val="22"/>
          <w:rtl/>
        </w:rPr>
        <w:t xml:space="preserve">ספר יצירה א,א: "בשלושים ושתים נתיבות פליאות חכמה". הקבלה קוראת את ל"ב נתיבות החכמה ואת נ׳ שערי הבינה כצמד משלים: 32 = הבזק ההשגה; 50 = פרישתו שער־אחר־שער לכלל הבנה. הרמב"ן בהקדמתו לתורה קושר אליהם את כל התורה. </w:t>
      </w:r>
      <w:r>
        <w:rPr>
          <w:rFonts w:ascii="Arial" w:cs="Arial" w:eastAsia="Arial" w:hAnsi="Arial"/>
          <w:b/>
          <w:bCs/>
          <w:sz w:val="22"/>
          <w:szCs w:val="22"/>
          <w:rtl/>
        </w:rPr>
        <w:t xml:space="preserve">【מקור לספר יצירה א,א ולראש השנה כ"א】; </w:t>
      </w:r>
      <w:r>
        <w:rPr>
          <w:rFonts w:ascii="Arial" w:cs="Arial" w:eastAsia="Arial" w:hAnsi="Arial"/>
          <w:b w:val="false"/>
          <w:bCs w:val="false"/>
          <w:sz w:val="22"/>
          <w:szCs w:val="22"/>
          <w:rtl/>
        </w:rPr>
        <w:t xml:space="preserve">ולצמד 32↔50 </w:t>
      </w:r>
      <w:r>
        <w:rPr>
          <w:rFonts w:ascii="Arial" w:cs="Arial" w:eastAsia="Arial" w:hAnsi="Arial"/>
          <w:b/>
          <w:bCs/>
          <w:sz w:val="22"/>
          <w:szCs w:val="22"/>
          <w:rtl/>
        </w:rPr>
        <w:t xml:space="preserve">【מקובלים】</w:t>
      </w:r>
    </w:p>
    <w:p>
      <w:pPr>
        <w:bidi/>
        <w:spacing w:after="120" w:line="288"/>
        <w:jc w:val="both"/>
      </w:pPr>
      <w:r>
        <w:rPr>
          <w:rFonts w:ascii="Arial" w:cs="Arial" w:eastAsia="Arial" w:hAnsi="Arial"/>
          <w:b/>
          <w:bCs/>
          <w:sz w:val="22"/>
          <w:szCs w:val="22"/>
          <w:rtl/>
        </w:rPr>
        <w:t xml:space="preserve">מהו השער הראשון. </w:t>
      </w:r>
      <w:r>
        <w:rPr>
          <w:rFonts w:ascii="Arial" w:cs="Arial" w:eastAsia="Arial" w:hAnsi="Arial"/>
          <w:b w:val="false"/>
          <w:bCs w:val="false"/>
          <w:sz w:val="22"/>
          <w:szCs w:val="22"/>
          <w:rtl/>
        </w:rPr>
        <w:t xml:space="preserve">במניין המסורתי הרווח, החמישים עולים מן החומרי אל האלוהי, בחמש שכבות של עשר:</w:t>
      </w:r>
    </w:p>
    <w:p>
      <w:pPr>
        <w:pStyle w:val="ListParagraph"/>
        <w:numPr>
          <w:ilvl w:val="0"/>
          <w:numId w:val="1"/>
        </w:numPr>
        <w:bidi/>
        <w:spacing w:after="60" w:line="276"/>
        <w:jc w:val="right"/>
      </w:pPr>
      <w:r>
        <w:rPr>
          <w:rFonts w:ascii="Arial" w:cs="Arial" w:eastAsia="Arial" w:hAnsi="Arial"/>
          <w:b/>
          <w:bCs/>
          <w:sz w:val="22"/>
          <w:szCs w:val="22"/>
          <w:rtl/>
        </w:rPr>
        <w:t xml:space="preserve">א–י: </w:t>
      </w:r>
      <w:r>
        <w:rPr>
          <w:rFonts w:ascii="Arial" w:cs="Arial" w:eastAsia="Arial" w:hAnsi="Arial"/>
          <w:b w:val="false"/>
          <w:bCs w:val="false"/>
          <w:sz w:val="22"/>
          <w:szCs w:val="22"/>
          <w:rtl/>
        </w:rPr>
        <w:t xml:space="preserve">דומם / יסודות — החל מן החומר הראשון, ההיולי, התוהו.</w:t>
      </w:r>
    </w:p>
    <w:p>
      <w:pPr>
        <w:pStyle w:val="ListParagraph"/>
        <w:numPr>
          <w:ilvl w:val="0"/>
          <w:numId w:val="1"/>
        </w:numPr>
        <w:bidi/>
        <w:spacing w:after="60" w:line="276"/>
        <w:jc w:val="right"/>
      </w:pPr>
      <w:r>
        <w:rPr>
          <w:rFonts w:ascii="Arial" w:cs="Arial" w:eastAsia="Arial" w:hAnsi="Arial"/>
          <w:b/>
          <w:bCs/>
          <w:sz w:val="22"/>
          <w:szCs w:val="22"/>
          <w:rtl/>
        </w:rPr>
        <w:t xml:space="preserve">יא–כ: </w:t>
      </w:r>
      <w:r>
        <w:rPr>
          <w:rFonts w:ascii="Arial" w:cs="Arial" w:eastAsia="Arial" w:hAnsi="Arial"/>
          <w:b w:val="false"/>
          <w:bCs w:val="false"/>
          <w:sz w:val="22"/>
          <w:szCs w:val="22"/>
          <w:rtl/>
        </w:rPr>
        <w:t xml:space="preserve">צומח.</w:t>
      </w:r>
    </w:p>
    <w:p>
      <w:pPr>
        <w:pStyle w:val="ListParagraph"/>
        <w:numPr>
          <w:ilvl w:val="0"/>
          <w:numId w:val="1"/>
        </w:numPr>
        <w:bidi/>
        <w:spacing w:after="60" w:line="276"/>
        <w:jc w:val="right"/>
      </w:pPr>
      <w:r>
        <w:rPr>
          <w:rFonts w:ascii="Arial" w:cs="Arial" w:eastAsia="Arial" w:hAnsi="Arial"/>
          <w:b/>
          <w:bCs/>
          <w:sz w:val="22"/>
          <w:szCs w:val="22"/>
          <w:rtl/>
        </w:rPr>
        <w:t xml:space="preserve">כא–ל: </w:t>
      </w:r>
      <w:r>
        <w:rPr>
          <w:rFonts w:ascii="Arial" w:cs="Arial" w:eastAsia="Arial" w:hAnsi="Arial"/>
          <w:b w:val="false"/>
          <w:bCs w:val="false"/>
          <w:sz w:val="22"/>
          <w:szCs w:val="22"/>
          <w:rtl/>
        </w:rPr>
        <w:t xml:space="preserve">חי.</w:t>
      </w:r>
    </w:p>
    <w:p>
      <w:pPr>
        <w:pStyle w:val="ListParagraph"/>
        <w:numPr>
          <w:ilvl w:val="0"/>
          <w:numId w:val="1"/>
        </w:numPr>
        <w:bidi/>
        <w:spacing w:after="60" w:line="276"/>
        <w:jc w:val="right"/>
      </w:pPr>
      <w:r>
        <w:rPr>
          <w:rFonts w:ascii="Arial" w:cs="Arial" w:eastAsia="Arial" w:hAnsi="Arial"/>
          <w:b/>
          <w:bCs/>
          <w:sz w:val="22"/>
          <w:szCs w:val="22"/>
          <w:rtl/>
        </w:rPr>
        <w:t xml:space="preserve">לא–מ: </w:t>
      </w:r>
      <w:r>
        <w:rPr>
          <w:rFonts w:ascii="Arial" w:cs="Arial" w:eastAsia="Arial" w:hAnsi="Arial"/>
          <w:b w:val="false"/>
          <w:bCs w:val="false"/>
          <w:sz w:val="22"/>
          <w:szCs w:val="22"/>
          <w:rtl/>
        </w:rPr>
        <w:t xml:space="preserve">האדם והגלגלים (השמימיים).</w:t>
      </w:r>
    </w:p>
    <w:p>
      <w:pPr>
        <w:pStyle w:val="ListParagraph"/>
        <w:numPr>
          <w:ilvl w:val="0"/>
          <w:numId w:val="1"/>
        </w:numPr>
        <w:bidi/>
        <w:spacing w:after="60" w:line="276"/>
        <w:jc w:val="right"/>
      </w:pPr>
      <w:r>
        <w:rPr>
          <w:rFonts w:ascii="Arial" w:cs="Arial" w:eastAsia="Arial" w:hAnsi="Arial"/>
          <w:b/>
          <w:bCs/>
          <w:sz w:val="22"/>
          <w:szCs w:val="22"/>
          <w:rtl/>
        </w:rPr>
        <w:t xml:space="preserve">מא–מט: </w:t>
      </w:r>
      <w:r>
        <w:rPr>
          <w:rFonts w:ascii="Arial" w:cs="Arial" w:eastAsia="Arial" w:hAnsi="Arial"/>
          <w:b w:val="false"/>
          <w:bCs w:val="false"/>
          <w:sz w:val="22"/>
          <w:szCs w:val="22"/>
          <w:rtl/>
        </w:rPr>
        <w:t xml:space="preserve">עולמות המלאכים והספירות.</w:t>
      </w:r>
    </w:p>
    <w:p>
      <w:pPr>
        <w:pStyle w:val="ListParagraph"/>
        <w:numPr>
          <w:ilvl w:val="0"/>
          <w:numId w:val="1"/>
        </w:numPr>
        <w:bidi/>
        <w:spacing w:after="60" w:line="276"/>
        <w:jc w:val="right"/>
      </w:pPr>
      <w:r>
        <w:rPr>
          <w:rFonts w:ascii="Arial" w:cs="Arial" w:eastAsia="Arial" w:hAnsi="Arial"/>
          <w:b/>
          <w:bCs/>
          <w:sz w:val="22"/>
          <w:szCs w:val="22"/>
          <w:rtl/>
        </w:rPr>
        <w:t xml:space="preserve">נ: </w:t>
      </w:r>
      <w:r>
        <w:rPr>
          <w:rFonts w:ascii="Arial" w:cs="Arial" w:eastAsia="Arial" w:hAnsi="Arial"/>
          <w:b w:val="false"/>
          <w:bCs w:val="false"/>
          <w:sz w:val="22"/>
          <w:szCs w:val="22"/>
          <w:rtl/>
        </w:rPr>
        <w:t xml:space="preserve">ידיעת הבורא / אין סוף — השער שמשה לא השיג.</w:t>
      </w:r>
    </w:p>
    <w:p>
      <w:pPr>
        <w:bidi/>
        <w:spacing w:after="120" w:line="288"/>
        <w:jc w:val="both"/>
      </w:pPr>
      <w:r>
        <w:rPr>
          <w:rFonts w:ascii="Arial" w:cs="Arial" w:eastAsia="Arial" w:hAnsi="Arial"/>
          <w:b w:val="false"/>
          <w:bCs w:val="false"/>
          <w:sz w:val="22"/>
          <w:szCs w:val="22"/>
          <w:rtl/>
        </w:rPr>
        <w:t xml:space="preserve">כך שהשער הראשון הוא אבן היסוד: השגת החומר הקדום חסר הצורה, שממנו מתחילה ההבנה את מסעה כלפי מעלה. </w:t>
      </w:r>
      <w:r>
        <w:rPr>
          <w:rFonts w:ascii="Arial" w:cs="Arial" w:eastAsia="Arial" w:hAnsi="Arial"/>
          <w:b/>
          <w:bCs/>
          <w:sz w:val="22"/>
          <w:szCs w:val="22"/>
          <w:rtl/>
        </w:rPr>
        <w:t xml:space="preserve">【מקובלים — מניין ה־5×10 הזה הוא מסורת מקובלים מאוחרת שמחברהּ אינו ודאי; מסומן ככזה, לא כתלמודי】</w:t>
      </w:r>
    </w:p>
    <w:p>
      <w:pPr>
        <w:bidi/>
        <w:spacing w:after="120" w:line="288"/>
        <w:jc w:val="both"/>
      </w:pPr>
      <w:r>
        <w:rPr>
          <w:rFonts w:ascii="Arial" w:cs="Arial" w:eastAsia="Arial" w:hAnsi="Arial"/>
          <w:b/>
          <w:bCs/>
          <w:sz w:val="22"/>
          <w:szCs w:val="22"/>
          <w:rtl/>
        </w:rPr>
        <w:t xml:space="preserve">כיצד "נכנסים" אליו. </w:t>
      </w:r>
      <w:r>
        <w:rPr>
          <w:rFonts w:ascii="Arial" w:cs="Arial" w:eastAsia="Arial" w:hAnsi="Arial"/>
          <w:b w:val="false"/>
          <w:bCs w:val="false"/>
          <w:sz w:val="22"/>
          <w:szCs w:val="22"/>
          <w:rtl/>
        </w:rPr>
        <w:t xml:space="preserve">הצורה החיה של החמישים היא ספירת העומר — 49 יום מפסח לשבועות. ישראל שקעו במצרים במ"ט שערי טומאה ונגאלו לפני החמישים, ואז עלו שער קדושה אחד בכל יום עד קבלת התורה בשער החמישים. הכניסה לשער א היא הצעד הראשון כלפי מעלה. </w:t>
      </w:r>
      <w:r>
        <w:rPr>
          <w:rFonts w:ascii="Arial" w:cs="Arial" w:eastAsia="Arial" w:hAnsi="Arial"/>
          <w:b/>
          <w:bCs/>
          <w:sz w:val="22"/>
          <w:szCs w:val="22"/>
          <w:rtl/>
        </w:rPr>
        <w:t xml:space="preserve">【מקור לעומר, ויקרא כג,טו–טז】; </w:t>
      </w:r>
      <w:r>
        <w:rPr>
          <w:rFonts w:ascii="Arial" w:cs="Arial" w:eastAsia="Arial" w:hAnsi="Arial"/>
          <w:b w:val="false"/>
          <w:bCs w:val="false"/>
          <w:sz w:val="22"/>
          <w:szCs w:val="22"/>
          <w:rtl/>
        </w:rPr>
        <w:t xml:space="preserve">ולקריאת מ"ט השערים — זוהר, האר"י, ובעקבותיהם אור החיים ורמח"ל </w:t>
      </w:r>
      <w:r>
        <w:rPr>
          <w:rFonts w:ascii="Arial" w:cs="Arial" w:eastAsia="Arial" w:hAnsi="Arial"/>
          <w:b/>
          <w:bCs/>
          <w:sz w:val="22"/>
          <w:szCs w:val="22"/>
          <w:rtl/>
        </w:rPr>
        <w:t xml:space="preserve">【מקובלים】</w:t>
      </w:r>
    </w:p>
    <w:p>
      <w:pPr>
        <w:bidi/>
        <w:spacing w:after="120" w:line="288"/>
        <w:jc w:val="both"/>
      </w:pPr>
      <w:r>
        <w:rPr>
          <w:rFonts w:ascii="Arial" w:cs="Arial" w:eastAsia="Arial" w:hAnsi="Arial"/>
          <w:b/>
          <w:bCs/>
          <w:sz w:val="22"/>
          <w:szCs w:val="22"/>
          <w:rtl/>
        </w:rPr>
        <w:t xml:space="preserve">מדוע חמישים, ומדוע נמנע אחד. </w:t>
      </w:r>
      <w:r>
        <w:rPr>
          <w:rFonts w:ascii="Arial" w:cs="Arial" w:eastAsia="Arial" w:hAnsi="Arial"/>
          <w:b w:val="false"/>
          <w:bCs w:val="false"/>
          <w:sz w:val="22"/>
          <w:szCs w:val="22"/>
          <w:rtl/>
        </w:rPr>
        <w:t xml:space="preserve">חמישים הוא מספר החירות והשיבה: היובל ("וּקְרָאתֶם דְּרוֹר", ויקרא כה,י), והתשובה, שהזוהר ממקם בבינה. האות נ = 50. משה השיג מ"ט; השער החמישים — ידיעת האין סוף — נמנע מכל נברא (וניתן, לפי דעה אחת, רק במיתת משה, או שמור לימות המשיח). שער א ושער נ תוחמים את כל מפעל האדם. </w:t>
      </w:r>
      <w:r>
        <w:rPr>
          <w:rFonts w:ascii="Arial" w:cs="Arial" w:eastAsia="Arial" w:hAnsi="Arial"/>
          <w:b/>
          <w:bCs/>
          <w:sz w:val="22"/>
          <w:szCs w:val="22"/>
          <w:rtl/>
        </w:rPr>
        <w:t xml:space="preserve">【מקור ליובל ולראש השנה】; </w:t>
      </w:r>
      <w:r>
        <w:rPr>
          <w:rFonts w:ascii="Arial" w:cs="Arial" w:eastAsia="Arial" w:hAnsi="Arial"/>
          <w:b w:val="false"/>
          <w:bCs w:val="false"/>
          <w:sz w:val="22"/>
          <w:szCs w:val="22"/>
          <w:rtl/>
        </w:rPr>
        <w:t xml:space="preserve">ולתשובה־בבינה ולקריאות המיתה/המשיח </w:t>
      </w:r>
      <w:r>
        <w:rPr>
          <w:rFonts w:ascii="Arial" w:cs="Arial" w:eastAsia="Arial" w:hAnsi="Arial"/>
          <w:b/>
          <w:bCs/>
          <w:sz w:val="22"/>
          <w:szCs w:val="22"/>
          <w:rtl/>
        </w:rPr>
        <w:t xml:space="preserve">【מקובלים】</w:t>
      </w:r>
    </w:p>
    <w:p>
      <w:pPr>
        <w:pStyle w:val="Heading2"/>
        <w:bidi/>
        <w:spacing w:after="110" w:before="220"/>
        <w:jc w:val="right"/>
      </w:pPr>
      <w:r>
        <w:rPr>
          <w:rFonts w:ascii="Arial" w:cs="Arial" w:eastAsia="Arial" w:hAnsi="Arial"/>
          <w:b/>
          <w:bCs/>
          <w:sz w:val="26"/>
          <w:szCs w:val="26"/>
          <w:rtl/>
        </w:rPr>
        <w:t xml:space="preserve">שני שערי א׳, זה מול זה</w:t>
      </w:r>
    </w:p>
    <w:tbl>
      <w:tblPr>
        <w:bidiVisual/>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3400"/>
      </w:tblGrid>
      <w:tr>
        <w:tc>
          <w:tcPr>
            <w:tcW w:type="dxa" w:w="2200"/>
            <w:shd w:fill="E7E6E6" w:color="auto" w:val="clear"/>
            <w:tcMar>
              <w:top w:type="dxa" w:w="60"/>
              <w:left w:type="dxa" w:w="90"/>
              <w:bottom w:type="dxa" w:w="60"/>
              <w:right w:type="dxa" w:w="90"/>
            </w:tcMar>
          </w:tcPr>
          <w:p>
            <w:pPr>
              <w:bidi/>
              <w:jc w:val="right"/>
            </w:pPr>
            <w:r>
              <w:rPr>
                <w:rFonts w:ascii="Arial" w:cs="Arial" w:eastAsia="Arial" w:hAnsi="Arial"/>
                <w:b/>
                <w:bCs/>
                <w:sz w:val="20"/>
                <w:szCs w:val="20"/>
                <w:rtl/>
              </w:rPr>
              <w:t xml:space="preserve"/>
            </w:r>
          </w:p>
        </w:tc>
        <w:tc>
          <w:tcPr>
            <w:tcW w:type="dxa" w:w="3400"/>
            <w:shd w:fill="E7E6E6" w:color="auto" w:val="clear"/>
            <w:tcMar>
              <w:top w:type="dxa" w:w="60"/>
              <w:left w:type="dxa" w:w="90"/>
              <w:bottom w:type="dxa" w:w="60"/>
              <w:right w:type="dxa" w:w="90"/>
            </w:tcMar>
          </w:tcPr>
          <w:p>
            <w:pPr>
              <w:bidi/>
              <w:jc w:val="right"/>
            </w:pPr>
            <w:r>
              <w:rPr>
                <w:rFonts w:ascii="Arial" w:cs="Arial" w:eastAsia="Arial" w:hAnsi="Arial"/>
                <w:b/>
                <w:bCs/>
                <w:sz w:val="20"/>
                <w:szCs w:val="20"/>
                <w:rtl/>
              </w:rPr>
              <w:t xml:space="preserve">מסלול א׳ (הלכתי)</w:t>
            </w:r>
          </w:p>
        </w:tc>
        <w:tc>
          <w:tcPr>
            <w:tcW w:type="dxa" w:w="3400"/>
            <w:shd w:fill="E7E6E6" w:color="auto" w:val="clear"/>
            <w:tcMar>
              <w:top w:type="dxa" w:w="60"/>
              <w:left w:type="dxa" w:w="90"/>
              <w:bottom w:type="dxa" w:w="60"/>
              <w:right w:type="dxa" w:w="90"/>
            </w:tcMar>
          </w:tcPr>
          <w:p>
            <w:pPr>
              <w:bidi/>
              <w:jc w:val="right"/>
            </w:pPr>
            <w:r>
              <w:rPr>
                <w:rFonts w:ascii="Arial" w:cs="Arial" w:eastAsia="Arial" w:hAnsi="Arial"/>
                <w:b/>
                <w:bCs/>
                <w:sz w:val="20"/>
                <w:szCs w:val="20"/>
                <w:rtl/>
              </w:rPr>
              <w:t xml:space="preserve">מסלול ב׳ (קבלי)</w:t>
            </w:r>
          </w:p>
        </w:tc>
      </w:tr>
      <w:tr>
        <w:tc>
          <w:tcPr>
            <w:tcW w:type="dxa" w:w="22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השער</w:t>
            </w:r>
          </w:p>
        </w:tc>
        <w:tc>
          <w:tcPr>
            <w:tcW w:type="dxa" w:w="34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הגדרת מהות השבועה</w:t>
            </w:r>
          </w:p>
        </w:tc>
        <w:tc>
          <w:tcPr>
            <w:tcW w:type="dxa" w:w="34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יסוד החומר הנברא</w:t>
            </w:r>
          </w:p>
        </w:tc>
      </w:tr>
      <w:tr>
        <w:tc>
          <w:tcPr>
            <w:tcW w:type="dxa" w:w="22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תפקידו</w:t>
            </w:r>
          </w:p>
        </w:tc>
        <w:tc>
          <w:tcPr>
            <w:tcW w:type="dxa" w:w="34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גזע לפני י"ט ענפים</w:t>
            </w:r>
          </w:p>
        </w:tc>
        <w:tc>
          <w:tcPr>
            <w:tcW w:type="dxa" w:w="34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שלב ראשון לפני עליית מ"ט השערים</w:t>
            </w:r>
          </w:p>
        </w:tc>
      </w:tr>
      <w:tr>
        <w:tc>
          <w:tcPr>
            <w:tcW w:type="dxa" w:w="22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"הכניסה"</w:t>
            </w:r>
          </w:p>
        </w:tc>
        <w:tc>
          <w:tcPr>
            <w:tcW w:type="dxa" w:w="34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האם זו שבועה תקפה?</w:t>
            </w:r>
          </w:p>
        </w:tc>
        <w:tc>
          <w:tcPr>
            <w:tcW w:type="dxa" w:w="34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הצעד הראשון ממ"ט שערי הטומאה</w:t>
            </w:r>
          </w:p>
        </w:tc>
      </w:tr>
      <w:tr>
        <w:tc>
          <w:tcPr>
            <w:tcW w:type="dxa" w:w="22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הרעיון המשותף</w:t>
            </w:r>
          </w:p>
        </w:tc>
        <w:tc>
          <w:tcPr>
            <w:tcW w:type="dxa" w:w="34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סף שיש לעבור לפני שכל דבר אחר מקבל משמעות</w:t>
            </w:r>
          </w:p>
        </w:tc>
        <w:tc>
          <w:tcPr>
            <w:tcW w:type="dxa" w:w="3400"/>
            <w:tcMar>
              <w:top w:type="dxa" w:w="60"/>
              <w:left w:type="dxa" w:w="90"/>
              <w:bottom w:type="dxa" w:w="60"/>
              <w:right w:type="dxa" w:w="90"/>
            </w:tcMar>
          </w:tcPr>
          <w:p>
            <w:pPr>
              <w:bidi/>
              <w:jc w:val="right"/>
            </w:pPr>
            <w:r>
              <w:rPr>
                <w:rFonts w:ascii="Arial" w:cs="Arial" w:eastAsia="Arial" w:hAnsi="Arial"/>
                <w:b w:val="false"/>
                <w:bCs w:val="false"/>
                <w:sz w:val="20"/>
                <w:szCs w:val="20"/>
                <w:rtl/>
              </w:rPr>
              <w:t xml:space="preserve">(זהה)</w:t>
            </w:r>
          </w:p>
        </w:tc>
      </w:tr>
    </w:tbl>
    <w:p>
      <w:pPr>
        <w:bidi/>
        <w:spacing w:after="120" w:line="288"/>
        <w:jc w:val="both"/>
      </w:pPr>
      <w:r>
        <w:rPr>
          <w:rFonts w:ascii="Arial" w:cs="Arial" w:eastAsia="Arial" w:hAnsi="Arial"/>
          <w:b w:val="false"/>
          <w:bCs w:val="false"/>
          <w:sz w:val="22"/>
          <w:szCs w:val="22"/>
          <w:rtl/>
        </w:rPr>
        <w:t xml:space="preserve">שתי המסורות, כל אחת בפני עצמה, עושות את שערן הראשון ליסודי — הגדרה/קרקע שכל שער מאוחר נשען עליה בשתיקה. חריזה מבנית זו (ולא קשר היסטורי) היא הקו שנמשיך לעקוב אחריו בעלייה. </w:t>
      </w:r>
      <w:r>
        <w:rPr>
          <w:rFonts w:ascii="Arial" w:cs="Arial" w:eastAsia="Arial" w:hAnsi="Arial"/>
          <w:b/>
          <w:bCs/>
          <w:sz w:val="22"/>
          <w:szCs w:val="22"/>
          <w:rtl/>
        </w:rPr>
        <w:t xml:space="preserve">【סינתזה】</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2026-08-31T01:42:43.978Z</dcterms:created>
  <dcterms:modified xsi:type="dcterms:W3CDTF">2026-08-31T01:42:43.979Z</dcterms:modified>
</cp:coreProperties>
</file>

<file path=docProps/custom.xml><?xml version="1.0" encoding="utf-8"?>
<Properties xmlns="http://schemas.openxmlformats.org/officeDocument/2006/custom-properties" xmlns:vt="http://schemas.openxmlformats.org/officeDocument/2006/docPropsVTypes"/>
</file>