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bidi/>
        <w:spacing w:after="120"/>
        <w:jc w:val="center"/>
      </w:pPr>
      <w:r>
        <w:rPr>
          <w:rFonts w:ascii="Arial" w:cs="Arial" w:eastAsia="Arial" w:hAnsi="Arial"/>
          <w:b/>
          <w:bCs/>
          <w:sz w:val="38"/>
          <w:szCs w:val="38"/>
          <w:rtl/>
        </w:rPr>
        <w:t xml:space="preserve">קונטרס ח"י אלול ה'תש"ג — מדריך לתוכן ולסיפורים</w:t>
      </w:r>
    </w:p>
    <w:p>
      <w:pPr>
        <w:bidi/>
        <w:spacing w:after="220"/>
        <w:jc w:val="center"/>
      </w:pPr>
      <w:r>
        <w:rPr>
          <w:rFonts w:ascii="Arial" w:cs="Arial" w:eastAsia="Arial" w:hAnsi="Arial"/>
          <w:i/>
          <w:iCs/>
          <w:sz w:val="24"/>
          <w:szCs w:val="24"/>
          <w:rtl/>
        </w:rPr>
        <w:t xml:space="preserve">מאת כ"ק אדמו"ר הריי"צ (רבי יוסף יצחק שניאורסאהן) · הוצאת קה"ת · סעיף אחר סעיף</w:t>
      </w:r>
    </w:p>
    <w:p>
      <w:pPr>
        <w:pStyle w:val="Heading1"/>
        <w:bidi/>
        <w:spacing w:after="140" w:before="280"/>
        <w:jc w:val="right"/>
      </w:pPr>
      <w:r>
        <w:rPr>
          <w:rFonts w:ascii="Arial" w:cs="Arial" w:eastAsia="Arial" w:hAnsi="Arial"/>
          <w:b/>
          <w:bCs/>
          <w:sz w:val="30"/>
          <w:szCs w:val="30"/>
          <w:rtl/>
        </w:rPr>
        <w:t xml:space="preserve">מה הוא הקונטרס הזה</w:t>
      </w:r>
    </w:p>
    <w:p>
      <w:pPr>
        <w:bidi/>
        <w:spacing w:after="120" w:line="288"/>
        <w:jc w:val="both"/>
      </w:pPr>
      <w:r>
        <w:rPr>
          <w:rFonts w:ascii="Arial" w:cs="Arial" w:eastAsia="Arial" w:hAnsi="Arial"/>
          <w:b/>
          <w:bCs/>
          <w:sz w:val="22"/>
          <w:szCs w:val="22"/>
          <w:rtl/>
        </w:rPr>
        <w:t xml:space="preserve">קובץ ה־PDF שלך (Hebrewbooks 43379, 82 עמ') הוא </w:t>
      </w:r>
      <w:r>
        <w:rPr>
          <w:rFonts w:ascii="Arial" w:cs="Arial" w:eastAsia="Arial" w:hAnsi="Arial"/>
          <w:b/>
          <w:bCs/>
          <w:sz w:val="22"/>
          <w:szCs w:val="22"/>
          <w:rtl/>
        </w:rPr>
        <w:t xml:space="preserve">קונטרס ח"י אלול ה'תש"ג</w:t>
      </w:r>
      <w:r>
        <w:rPr>
          <w:rFonts w:ascii="Arial" w:cs="Arial" w:eastAsia="Arial" w:hAnsi="Arial"/>
          <w:b w:val="false"/>
          <w:bCs w:val="false"/>
          <w:sz w:val="22"/>
          <w:szCs w:val="22"/>
          <w:rtl/>
        </w:rPr>
        <w:t xml:space="preserve"> — קונטרס חב"די שיצא לאור בקה"ת, לזכר ח"י אלול: יום ההולדת של הבעש"ט (ה'תנ"ח) ושל רבינו הזקן בעל התניא (ה'תק"ה). זהו </w:t>
      </w:r>
      <w:r>
        <w:rPr>
          <w:rFonts w:ascii="Arial" w:cs="Arial" w:eastAsia="Arial" w:hAnsi="Arial"/>
          <w:b/>
          <w:bCs/>
          <w:sz w:val="22"/>
          <w:szCs w:val="22"/>
          <w:rtl/>
        </w:rPr>
        <w:t xml:space="preserve">אוסף</w:t>
      </w:r>
      <w:r>
        <w:rPr>
          <w:rFonts w:ascii="Arial" w:cs="Arial" w:eastAsia="Arial" w:hAnsi="Arial"/>
          <w:b w:val="false"/>
          <w:bCs w:val="false"/>
          <w:sz w:val="22"/>
          <w:szCs w:val="22"/>
          <w:rtl/>
        </w:rPr>
        <w:t xml:space="preserve"> של שיחות, מאמר אחד מרכזי (חמשים שערי בינה), רשימות (זכרונות וסיפורים), ומאמר כללי בחינוך — ולא ספר הבנוי כ"חמשים שערים".</w:t>
      </w:r>
    </w:p>
    <w:p>
      <w:pPr>
        <w:pStyle w:val="Heading1"/>
        <w:bidi/>
        <w:spacing w:after="140" w:before="280"/>
        <w:jc w:val="right"/>
      </w:pPr>
      <w:r>
        <w:rPr>
          <w:rFonts w:ascii="Arial" w:cs="Arial" w:eastAsia="Arial" w:hAnsi="Arial"/>
          <w:b/>
          <w:bCs/>
          <w:sz w:val="30"/>
          <w:szCs w:val="30"/>
          <w:rtl/>
        </w:rPr>
        <w:t xml:space="preserve">האם כל סיפור הוא "שער"?</w:t>
      </w:r>
    </w:p>
    <w:p>
      <w:pPr>
        <w:bidi/>
        <w:spacing w:after="120" w:line="288"/>
        <w:jc w:val="both"/>
      </w:pPr>
      <w:r>
        <w:rPr>
          <w:rFonts w:ascii="Arial" w:cs="Arial" w:eastAsia="Arial" w:hAnsi="Arial"/>
          <w:b/>
          <w:bCs/>
          <w:sz w:val="22"/>
          <w:szCs w:val="22"/>
          <w:rtl/>
        </w:rPr>
        <w:t xml:space="preserve">מבחינת המבנה — לא: </w:t>
      </w:r>
      <w:r>
        <w:rPr>
          <w:rFonts w:ascii="Arial" w:cs="Arial" w:eastAsia="Arial" w:hAnsi="Arial"/>
          <w:b w:val="false"/>
          <w:bCs w:val="false"/>
          <w:sz w:val="22"/>
          <w:szCs w:val="22"/>
          <w:rtl/>
        </w:rPr>
        <w:t xml:space="preserve">הקונטרס אינו רשימת נ' שערים אלא קובץ לח"י אלול. </w:t>
      </w:r>
    </w:p>
    <w:p>
      <w:pPr>
        <w:bidi/>
        <w:spacing w:after="120" w:line="288"/>
        <w:jc w:val="both"/>
      </w:pPr>
      <w:r>
        <w:rPr>
          <w:rFonts w:ascii="Arial" w:cs="Arial" w:eastAsia="Arial" w:hAnsi="Arial"/>
          <w:b/>
          <w:bCs/>
          <w:sz w:val="22"/>
          <w:szCs w:val="22"/>
          <w:rtl/>
        </w:rPr>
        <w:t xml:space="preserve">אבל האינטואיציה נכונה ברוח: </w:t>
      </w:r>
      <w:r>
        <w:rPr>
          <w:rFonts w:ascii="Arial" w:cs="Arial" w:eastAsia="Arial" w:hAnsi="Arial"/>
          <w:b w:val="false"/>
          <w:bCs w:val="false"/>
          <w:sz w:val="22"/>
          <w:szCs w:val="22"/>
          <w:rtl/>
        </w:rPr>
        <w:t xml:space="preserve">המאמר עצמו מלמד "פי' נבראו הוא לשון גילוי" — החמישים שערים </w:t>
      </w:r>
      <w:r>
        <w:rPr>
          <w:rFonts w:ascii="Arial" w:cs="Arial" w:eastAsia="Arial" w:hAnsi="Arial"/>
          <w:b/>
          <w:bCs/>
          <w:sz w:val="22"/>
          <w:szCs w:val="22"/>
          <w:rtl/>
        </w:rPr>
        <w:t xml:space="preserve">מתגלים רק על ידי עבודה</w:t>
      </w:r>
      <w:r>
        <w:rPr>
          <w:rFonts w:ascii="Arial" w:cs="Arial" w:eastAsia="Arial" w:hAnsi="Arial"/>
          <w:b w:val="false"/>
          <w:bCs w:val="false"/>
          <w:sz w:val="22"/>
          <w:szCs w:val="22"/>
          <w:rtl/>
        </w:rPr>
        <w:t xml:space="preserve"> ("דההתגלות יהי' ע"י עבודת האדם", עמ' 7). הסיפורים הם בדיוק אותה עבודה בפועל: כל סיפור </w:t>
      </w:r>
      <w:r>
        <w:rPr>
          <w:rFonts w:ascii="Arial" w:cs="Arial" w:eastAsia="Arial" w:hAnsi="Arial"/>
          <w:b/>
          <w:bCs/>
          <w:sz w:val="22"/>
          <w:szCs w:val="22"/>
          <w:rtl/>
        </w:rPr>
        <w:t xml:space="preserve">פותח "שער"</w:t>
      </w:r>
      <w:r>
        <w:rPr>
          <w:rFonts w:ascii="Arial" w:cs="Arial" w:eastAsia="Arial" w:hAnsi="Arial"/>
          <w:b w:val="false"/>
          <w:bCs w:val="false"/>
          <w:sz w:val="22"/>
          <w:szCs w:val="22"/>
          <w:rtl/>
        </w:rPr>
        <w:t xml:space="preserve"> להשגת פן אחד של העבודה — אהבת ישראל, תמימות, זיכוך עצמי (עבודה = עיבוד עורות), ביטול. כך שלא כרשימה, אבל כן: כל סיפור הוא שער שנכנסים דרכו להבין פן מן החמישים. </w:t>
      </w:r>
      <w:r>
        <w:rPr>
          <w:rFonts w:ascii="Arial" w:cs="Arial" w:eastAsia="Arial" w:hAnsi="Arial"/>
          <w:b/>
          <w:bCs/>
          <w:sz w:val="22"/>
          <w:szCs w:val="22"/>
          <w:rtl/>
        </w:rPr>
        <w:t xml:space="preserve">【סינתזה שלי】</w:t>
      </w:r>
    </w:p>
    <w:p>
      <w:pPr>
        <w:pStyle w:val="Heading1"/>
        <w:bidi/>
        <w:spacing w:after="140" w:before="280"/>
        <w:jc w:val="right"/>
      </w:pPr>
      <w:r>
        <w:rPr>
          <w:rFonts w:ascii="Arial" w:cs="Arial" w:eastAsia="Arial" w:hAnsi="Arial"/>
          <w:b/>
          <w:bCs/>
          <w:sz w:val="30"/>
          <w:szCs w:val="30"/>
          <w:rtl/>
        </w:rPr>
        <w:t xml:space="preserve">סעיף אחר סעיף — מה הרבי אומר</w:t>
      </w:r>
    </w:p>
    <w:p>
      <w:pPr>
        <w:pStyle w:val="Heading2"/>
        <w:bidi/>
        <w:spacing w:after="100" w:before="220"/>
        <w:jc w:val="right"/>
      </w:pPr>
      <w:r>
        <w:rPr>
          <w:rFonts w:ascii="Arial" w:cs="Arial" w:eastAsia="Arial" w:hAnsi="Arial"/>
          <w:b/>
          <w:bCs/>
          <w:sz w:val="25"/>
          <w:szCs w:val="25"/>
          <w:rtl/>
        </w:rPr>
        <w:t xml:space="preserve">הקדמה (עמ' 3)</w:t>
      </w:r>
    </w:p>
    <w:p>
      <w:pPr>
        <w:bidi/>
        <w:spacing w:after="120" w:line="288"/>
        <w:jc w:val="both"/>
      </w:pPr>
      <w:r>
        <w:rPr>
          <w:rFonts w:ascii="Arial" w:cs="Arial" w:eastAsia="Arial" w:hAnsi="Arial"/>
          <w:b w:val="false"/>
          <w:bCs w:val="false"/>
          <w:sz w:val="22"/>
          <w:szCs w:val="22"/>
          <w:rtl/>
        </w:rPr>
        <w:t xml:space="preserve">מאת המו"ל (קה"ת). ח"י אלול = יום ההולדת של הבעש"ט (תנ"ח) ושל רבינו הזקן (תק"ה). נהגו חסידים לעשותו יום התוועדות: לספר מעשי צדיקים, להתחזק בדרכי החסידות, ולקבל החלטות לקבוע עתים לתורה ולאהבת ישראל. הקונטרס אוסף את שיחות, מאמרי ורשימות כ"ק אדמו"ר [הריי"צ] מח"י אלול תש"ג.</w:t>
      </w:r>
    </w:p>
    <w:p>
      <w:pPr>
        <w:pStyle w:val="Heading2"/>
        <w:bidi/>
        <w:spacing w:after="100" w:before="220"/>
        <w:jc w:val="right"/>
      </w:pPr>
      <w:r>
        <w:rPr>
          <w:rFonts w:ascii="Arial" w:cs="Arial" w:eastAsia="Arial" w:hAnsi="Arial"/>
          <w:b/>
          <w:bCs/>
          <w:sz w:val="25"/>
          <w:szCs w:val="25"/>
          <w:rtl/>
        </w:rPr>
        <w:t xml:space="preserve">שיחה א (עמ' 5)</w:t>
      </w:r>
    </w:p>
    <w:p>
      <w:pPr>
        <w:bidi/>
        <w:spacing w:after="120" w:line="288"/>
        <w:jc w:val="both"/>
      </w:pPr>
      <w:r>
        <w:rPr>
          <w:rFonts w:ascii="Arial" w:cs="Arial" w:eastAsia="Arial" w:hAnsi="Arial"/>
          <w:b w:val="false"/>
          <w:bCs w:val="false"/>
          <w:sz w:val="22"/>
          <w:szCs w:val="22"/>
          <w:rtl/>
        </w:rPr>
        <w:t xml:space="preserve">"היום חמשים שנה [יובל] מאז ששמעתי מאבא". הרבי מספר על ח"י אלול תרנ"ג: אביו [הרבי הרש"ב] אמר לו ללכת בהשכמה למקוה ולא לומר תחנון. הילד לא שאל "למה" — "המילה 'למה' לא היתה קיימת בבית שלנו". מתאר את החדר, מלמדו ר' ניסן סקאבלא, וסדר יומו. בח"י אלול אביו שמח מאוד: "גוט יום טוב לנו! היום יום ההולדת של שני המאורות הגדולים", סגר שתי הדלתות ואמר מאמר חסידות "חמשים שערי בינה". הוסיף: "אתפשטותא דמשה בכל דרא" — הבעש"ט הוא ה'משה' של הדור עם נ' שערי בינה; רבינו הזקן = משה עם תורת חב"ד; השער האחד [ה-50] שחסידים משלימים עד ביאת המשיח = "יפוצו מעינותיך חוצה".</w:t>
      </w:r>
    </w:p>
    <w:p>
      <w:pPr>
        <w:pStyle w:val="Heading2"/>
        <w:bidi/>
        <w:spacing w:after="100" w:before="220"/>
        <w:jc w:val="right"/>
      </w:pPr>
      <w:r>
        <w:rPr>
          <w:rFonts w:ascii="Arial" w:cs="Arial" w:eastAsia="Arial" w:hAnsi="Arial"/>
          <w:b/>
          <w:bCs/>
          <w:sz w:val="25"/>
          <w:szCs w:val="25"/>
          <w:rtl/>
        </w:rPr>
        <w:t xml:space="preserve">מאמר: חמשים שערי בינה (עמ' 7) — הלב המיסטי</w:t>
      </w:r>
    </w:p>
    <w:p>
      <w:pPr>
        <w:bidi/>
        <w:spacing w:after="120" w:line="288"/>
        <w:jc w:val="both"/>
      </w:pPr>
      <w:r>
        <w:rPr>
          <w:rFonts w:ascii="Arial" w:cs="Arial" w:eastAsia="Arial" w:hAnsi="Arial"/>
          <w:b w:val="false"/>
          <w:bCs w:val="false"/>
          <w:sz w:val="22"/>
          <w:szCs w:val="22"/>
          <w:rtl/>
        </w:rPr>
        <w:t xml:space="preserve">"חמשים שערי בינה נבראו בעולם וכולם ניתנו למשה חסר אחד" (ר"ה כא,ב). "נבראו" = לשון גילוי — השערים מתגלים ע"י עבודת האדם. מ"ט פנים טהור ומ"ט פנים טמא (ר' ינאי); התורה כסם חיים/מיתה (יומא עב). מ"ט שערים + שער הנו"ן = מטר וטל (דברים לב,ב): מ"ט = אתערותא דלתתא, שער הנו"ן = טל/</w:t>
      </w:r>
      <w:r>
        <w:rPr>
          <w:rFonts w:ascii="Arial" w:cs="Arial" w:eastAsia="Arial" w:hAnsi="Arial"/>
          <w:b/>
          <w:bCs/>
          <w:sz w:val="22"/>
          <w:szCs w:val="22"/>
          <w:rtl/>
        </w:rPr>
        <w:t xml:space="preserve">מתנה</w:t>
      </w:r>
      <w:r>
        <w:rPr>
          <w:rFonts w:ascii="Arial" w:cs="Arial" w:eastAsia="Arial" w:hAnsi="Arial"/>
          <w:b w:val="false"/>
          <w:bCs w:val="false"/>
          <w:sz w:val="22"/>
          <w:szCs w:val="22"/>
          <w:rtl/>
        </w:rPr>
        <w:t xml:space="preserve"> מלמעלה. "חולה" = מ"ט בגימטריא (מי שאינו לומד חסר את השער החמישים). שער הנו"ן </w:t>
      </w:r>
      <w:r>
        <w:rPr>
          <w:rFonts w:ascii="Arial" w:cs="Arial" w:eastAsia="Arial" w:hAnsi="Arial"/>
          <w:b/>
          <w:bCs/>
          <w:sz w:val="22"/>
          <w:szCs w:val="22"/>
          <w:rtl/>
        </w:rPr>
        <w:t xml:space="preserve">מחבר חכמה ובינה</w:t>
      </w:r>
      <w:r>
        <w:rPr>
          <w:rFonts w:ascii="Arial" w:cs="Arial" w:eastAsia="Arial" w:hAnsi="Arial"/>
          <w:b w:val="false"/>
          <w:bCs w:val="false"/>
          <w:sz w:val="22"/>
          <w:szCs w:val="22"/>
          <w:rtl/>
        </w:rPr>
        <w:t xml:space="preserve"> — חכמה = ראי', בינה = שמיעה. קשור למ"ט שערי טומאה במצרים ולספירת העומר.</w:t>
      </w:r>
    </w:p>
    <w:p>
      <w:pPr>
        <w:pStyle w:val="Heading2"/>
        <w:bidi/>
        <w:spacing w:after="100" w:before="220"/>
        <w:jc w:val="right"/>
      </w:pPr>
      <w:r>
        <w:rPr>
          <w:rFonts w:ascii="Arial" w:cs="Arial" w:eastAsia="Arial" w:hAnsi="Arial"/>
          <w:b/>
          <w:bCs/>
          <w:sz w:val="25"/>
          <w:szCs w:val="25"/>
          <w:rtl/>
        </w:rPr>
        <w:t xml:space="preserve">שיחה ב (עמ' 10)</w:t>
      </w:r>
    </w:p>
    <w:p>
      <w:pPr>
        <w:bidi/>
        <w:spacing w:after="120" w:line="288"/>
        <w:jc w:val="both"/>
      </w:pPr>
      <w:r>
        <w:rPr>
          <w:rFonts w:ascii="Arial" w:cs="Arial" w:eastAsia="Arial" w:hAnsi="Arial"/>
          <w:b w:val="false"/>
          <w:bCs w:val="false"/>
          <w:sz w:val="22"/>
          <w:szCs w:val="22"/>
          <w:rtl/>
        </w:rPr>
        <w:t xml:space="preserve">סעודת חג השבועות. הצמח צדק (תרי"ג): בסעודת מצוה מזככים את שלושת לבושי הנפש — מחשבה, דיבור, מעשה. הרבי מהר"ש שאל מדוע נקראת "סעודת מצוה". ד' סוגי סעודות: חול, יו"ט, שבת, מצוה. סיפור: ר' דוד צבי חן היה מניח יד ימינו על מצחו לפני ברכה — להתבונן על מי הוא מברך.</w:t>
      </w:r>
    </w:p>
    <w:p>
      <w:pPr>
        <w:pStyle w:val="Heading2"/>
        <w:bidi/>
        <w:spacing w:after="100" w:before="220"/>
        <w:jc w:val="right"/>
      </w:pPr>
      <w:r>
        <w:rPr>
          <w:rFonts w:ascii="Arial" w:cs="Arial" w:eastAsia="Arial" w:hAnsi="Arial"/>
          <w:b/>
          <w:bCs/>
          <w:sz w:val="25"/>
          <w:szCs w:val="25"/>
          <w:rtl/>
        </w:rPr>
        <w:t xml:space="preserve">שיחה ג (עמ' 13)</w:t>
      </w:r>
    </w:p>
    <w:p>
      <w:pPr>
        <w:bidi/>
        <w:spacing w:after="120" w:line="288"/>
        <w:jc w:val="both"/>
      </w:pPr>
      <w:r>
        <w:rPr>
          <w:rFonts w:ascii="Arial" w:cs="Arial" w:eastAsia="Arial" w:hAnsi="Arial"/>
          <w:b w:val="false"/>
          <w:bCs w:val="false"/>
          <w:sz w:val="22"/>
          <w:szCs w:val="22"/>
          <w:rtl/>
        </w:rPr>
        <w:t xml:space="preserve">ח"י אלול = יום ב' של מעשה בראשית ("יהי רקיע"). רבינו הזקן מביא (שער היחוד והאמונה פ"א) את פירוש הבעש"ט על "לעולם ה' דברך נצב בשמים" — אותיות הדיבור האלוקי עומדות בתוך הבריאה ומחיות אותה. מדוע בשם הבעש"ט? הצמח צדק: לעשות זכרון נצחי (כר' אושעיא הפותח את המדרש). כולל גליא ונסתר דתורה, מתיבתא דרקיע, והמחלוקת בנגע — הקב"ה אומר טהור, מתיבתא דרקיע אומרת טמא.</w:t>
      </w:r>
    </w:p>
    <w:p>
      <w:pPr>
        <w:pStyle w:val="Heading2"/>
        <w:bidi/>
        <w:spacing w:after="100" w:before="220"/>
        <w:jc w:val="right"/>
      </w:pPr>
      <w:r>
        <w:rPr>
          <w:rFonts w:ascii="Arial" w:cs="Arial" w:eastAsia="Arial" w:hAnsi="Arial"/>
          <w:b/>
          <w:bCs/>
          <w:sz w:val="25"/>
          <w:szCs w:val="25"/>
          <w:rtl/>
        </w:rPr>
        <w:t xml:space="preserve">שיחה ד (עמ' 18) — סיפור סלוצק הגדול</w:t>
      </w:r>
    </w:p>
    <w:p>
      <w:pPr>
        <w:bidi/>
        <w:spacing w:after="120" w:line="288"/>
        <w:jc w:val="both"/>
      </w:pPr>
      <w:r>
        <w:rPr>
          <w:rFonts w:ascii="Arial" w:cs="Arial" w:eastAsia="Arial" w:hAnsi="Arial"/>
          <w:b w:val="false"/>
          <w:bCs w:val="false"/>
          <w:sz w:val="22"/>
          <w:szCs w:val="22"/>
          <w:rtl/>
        </w:rPr>
        <w:t xml:space="preserve">אהבת ישראל כירושה מהבעש"ט; הצדיקים הנסתרים (ר' אדם בעל שם). הסיפור: אשה שנשתטית; הבעש"ט מרפא אותה בתנאי שהזוג יתגרשו ברצון מתוך אמונת צדיקים, ומלמד אהבת ישראל. הבעש"ט מעיד: איש פשוט שידע רק להתפלל ולומר תהלים אך היה מופלא באהבת ישראל — פסקו לו בבי"ד של מעלה חלק בגן עדן. ד' לימודי הבעש"ט לר' אורי נתן נטע: (א) כל התורה שמותיו של הקב"ה; (ב) השגחה פרטית על כל נברא; (ג) מעלת כל יהודי ("בנים אתם לה' אלקיכם"); (ד) אהבת ישראל.</w:t>
      </w:r>
    </w:p>
    <w:p>
      <w:pPr>
        <w:pStyle w:val="Heading2"/>
        <w:bidi/>
        <w:spacing w:after="100" w:before="220"/>
        <w:jc w:val="right"/>
      </w:pPr>
      <w:r>
        <w:rPr>
          <w:rFonts w:ascii="Arial" w:cs="Arial" w:eastAsia="Arial" w:hAnsi="Arial"/>
          <w:b/>
          <w:bCs/>
          <w:sz w:val="25"/>
          <w:szCs w:val="25"/>
          <w:rtl/>
        </w:rPr>
        <w:t xml:space="preserve">רשימה א (עמ' 21)</w:t>
      </w:r>
    </w:p>
    <w:p>
      <w:pPr>
        <w:bidi/>
        <w:spacing w:after="120" w:line="288"/>
        <w:jc w:val="both"/>
      </w:pPr>
      <w:r>
        <w:rPr>
          <w:rFonts w:ascii="Arial" w:cs="Arial" w:eastAsia="Arial" w:hAnsi="Arial"/>
          <w:b w:val="false"/>
          <w:bCs w:val="false"/>
          <w:sz w:val="22"/>
          <w:szCs w:val="22"/>
          <w:rtl/>
        </w:rPr>
        <w:t xml:space="preserve">"הספורים אשר לו" — זכרונות שהרבי [הרש"ב] סיפר: שבת תשובה, מאמר "שובה ישראל", מנהגי רבינו הזקן, סעודת שלום זכר, יום הברית של הצמח צדק. כולל "וישלח יעקב מלאכים" — רבינו הזקן בשבת האחרונה לפני הסתלקותו: המלאכים ששלח יעקב היו מלאכים ממש, אך רוחניותם נשארה עם יעקב. פריטים מפורטים (א–י) על סדר ליל שמורים, יום שלישי למילה, "עובד י-ה".</w:t>
      </w:r>
    </w:p>
    <w:p>
      <w:pPr>
        <w:pStyle w:val="Heading2"/>
        <w:bidi/>
        <w:spacing w:after="100" w:before="220"/>
        <w:jc w:val="right"/>
      </w:pPr>
      <w:r>
        <w:rPr>
          <w:rFonts w:ascii="Arial" w:cs="Arial" w:eastAsia="Arial" w:hAnsi="Arial"/>
          <w:b/>
          <w:bCs/>
          <w:sz w:val="25"/>
          <w:szCs w:val="25"/>
          <w:rtl/>
        </w:rPr>
        <w:t xml:space="preserve">רשימות ב–ג (עמ' 29, 35)</w:t>
      </w:r>
    </w:p>
    <w:p>
      <w:pPr>
        <w:bidi/>
        <w:spacing w:after="120" w:line="288"/>
        <w:jc w:val="both"/>
      </w:pPr>
      <w:r>
        <w:rPr>
          <w:rFonts w:ascii="Arial" w:cs="Arial" w:eastAsia="Arial" w:hAnsi="Arial"/>
          <w:b w:val="false"/>
          <w:bCs w:val="false"/>
          <w:sz w:val="22"/>
          <w:szCs w:val="22"/>
          <w:rtl/>
        </w:rPr>
        <w:t xml:space="preserve">ניגון ר' מיכעלע זלאטשובער — "התעוררות רחמים רבים"; נשמת הניגון: "אשה קשת רוח אנכי... ואשפוך את נפשי לפני ה'". הבטחת הבעש"ט: המנגן אותו בהתעוררות תשובה — ייעזר ברחמים רבים. גם: מאמר "אברם הוא אב רם", והמלאכים המעלים את הבל תשב"ר (תינוקות של בית רבן).</w:t>
      </w:r>
    </w:p>
    <w:p>
      <w:pPr>
        <w:pStyle w:val="Heading2"/>
        <w:bidi/>
        <w:spacing w:after="100" w:before="220"/>
        <w:jc w:val="right"/>
      </w:pPr>
      <w:r>
        <w:rPr>
          <w:rFonts w:ascii="Arial" w:cs="Arial" w:eastAsia="Arial" w:hAnsi="Arial"/>
          <w:b/>
          <w:bCs/>
          <w:sz w:val="25"/>
          <w:szCs w:val="25"/>
          <w:rtl/>
        </w:rPr>
        <w:t xml:space="preserve">שיחה ה (עמ' 38)</w:t>
      </w:r>
    </w:p>
    <w:p>
      <w:pPr>
        <w:bidi/>
        <w:spacing w:after="120" w:line="288"/>
        <w:jc w:val="both"/>
      </w:pPr>
      <w:r>
        <w:rPr>
          <w:rFonts w:ascii="Arial" w:cs="Arial" w:eastAsia="Arial" w:hAnsi="Arial"/>
          <w:b w:val="false"/>
          <w:bCs w:val="false"/>
          <w:sz w:val="22"/>
          <w:szCs w:val="22"/>
          <w:rtl/>
        </w:rPr>
        <w:t xml:space="preserve">חינוך. סיפור ר' יעקב ליב — יהודי פשוט וירא שמים גדול. בכייתו בסליחות: "אינני בוכה, אלא שוטף את השלומפער [הבוץ] שנצטבר במשך השנה". שני מאמרים שקלט: "המתפלל צריך שיראה עצמו כאילו שכינה כנגדו" (סנהדרין כב), ו"נשאת ונתת באמונה" (שבת לא).</w:t>
      </w:r>
    </w:p>
    <w:p>
      <w:pPr>
        <w:pStyle w:val="Heading2"/>
        <w:bidi/>
        <w:spacing w:after="100" w:before="220"/>
        <w:jc w:val="right"/>
      </w:pPr>
      <w:r>
        <w:rPr>
          <w:rFonts w:ascii="Arial" w:cs="Arial" w:eastAsia="Arial" w:hAnsi="Arial"/>
          <w:b/>
          <w:bCs/>
          <w:sz w:val="25"/>
          <w:szCs w:val="25"/>
          <w:rtl/>
        </w:rPr>
        <w:t xml:space="preserve">שיחה ו (עמ' 41)</w:t>
      </w:r>
    </w:p>
    <w:p>
      <w:pPr>
        <w:bidi/>
        <w:spacing w:after="120" w:line="288"/>
        <w:jc w:val="both"/>
      </w:pPr>
      <w:r>
        <w:rPr>
          <w:rFonts w:ascii="Arial" w:cs="Arial" w:eastAsia="Arial" w:hAnsi="Arial"/>
          <w:b w:val="false"/>
          <w:bCs w:val="false"/>
          <w:sz w:val="22"/>
          <w:szCs w:val="22"/>
          <w:rtl/>
        </w:rPr>
        <w:t xml:space="preserve">עבודה מלשון "עורות עבודים" (עיבוד עורות): כשם שמעור בהמה גס מעבדים קלף לבן דק ביגיעה, כך ביגיעה מהפכים אדם פשוט ל"עובד ה'". עבודת ההכשרה קודמת לעבודה. שני אופני עבודה: אתערותא דלעילא ואתערותא דלתתא ("דודי לי ואני לו" / "אני לדודי ודודי לי").</w:t>
      </w:r>
    </w:p>
    <w:p>
      <w:pPr>
        <w:pStyle w:val="Heading2"/>
        <w:bidi/>
        <w:spacing w:after="100" w:before="220"/>
        <w:jc w:val="right"/>
      </w:pPr>
      <w:r>
        <w:rPr>
          <w:rFonts w:ascii="Arial" w:cs="Arial" w:eastAsia="Arial" w:hAnsi="Arial"/>
          <w:b/>
          <w:bCs/>
          <w:sz w:val="25"/>
          <w:szCs w:val="25"/>
          <w:rtl/>
        </w:rPr>
        <w:t xml:space="preserve">שיחה ז (עמ' 44) — סיפור ר' שמואל מונקעס</w:t>
      </w:r>
    </w:p>
    <w:p>
      <w:pPr>
        <w:bidi/>
        <w:spacing w:after="120" w:line="288"/>
        <w:jc w:val="both"/>
      </w:pPr>
      <w:r>
        <w:rPr>
          <w:rFonts w:ascii="Arial" w:cs="Arial" w:eastAsia="Arial" w:hAnsi="Arial"/>
          <w:b w:val="false"/>
          <w:bCs w:val="false"/>
          <w:sz w:val="22"/>
          <w:szCs w:val="22"/>
          <w:rtl/>
        </w:rPr>
        <w:t xml:space="preserve">בהתוועדות אצל רבינו הזקן: החסיד ר' שמואל מונקעס ("שטיפער"/שובב) חוטף את סיר הריאות הצלויות, מסרב לחלק "פארבייסן" עד שיבקשוהו, ואז זורק את הסיר לדלי מים בריקוד — ופוסקים שעבר על בל תשחית וביזוי אוכלין. אך מתגלה שהריאות היו טריפות (טעות הקצב) — ורוח הקודש הצילה. המוסר: כח המושך שבדבר איסור, וכח נפש הבהמית.</w:t>
      </w:r>
    </w:p>
    <w:p>
      <w:pPr>
        <w:pStyle w:val="Heading2"/>
        <w:bidi/>
        <w:spacing w:after="100" w:before="220"/>
        <w:jc w:val="right"/>
      </w:pPr>
      <w:r>
        <w:rPr>
          <w:rFonts w:ascii="Arial" w:cs="Arial" w:eastAsia="Arial" w:hAnsi="Arial"/>
          <w:b/>
          <w:bCs/>
          <w:sz w:val="25"/>
          <w:szCs w:val="25"/>
          <w:rtl/>
        </w:rPr>
        <w:t xml:space="preserve">סיפור הבעש"ט בילדותו (בתוך הרשימות)</w:t>
      </w:r>
    </w:p>
    <w:p>
      <w:pPr>
        <w:bidi/>
        <w:spacing w:after="120" w:line="288"/>
        <w:jc w:val="both"/>
      </w:pPr>
      <w:r>
        <w:rPr>
          <w:rFonts w:ascii="Arial" w:cs="Arial" w:eastAsia="Arial" w:hAnsi="Arial"/>
          <w:b w:val="false"/>
          <w:bCs w:val="false"/>
          <w:sz w:val="22"/>
          <w:szCs w:val="22"/>
          <w:rtl/>
        </w:rPr>
        <w:t xml:space="preserve">בן חמש נתייתם; דברי אביו האחרונים: "ישראל'יק, אל תירא מאיש רק מה' לבדו". שוטט בשדות וביערות; ארבע שנים למד עם הצדיק הנסתר ר' מאיר בביתן שביער (גאון נסתר מחופש לבעל מלאכה). ואז נגלה אליו אליהו הנביא בחיוך, ולימדו על גודל הנחת רוח בשמים מהשבח של אנשים פשוטים — זלאטע רבקה הארענדארקע [בעלת הפונדק] האומרת "ברוך הוא ומבורך לעולם ועד". מכאן שאב הבעש"ט את דרך אהבת ישראל.</w:t>
      </w:r>
    </w:p>
    <w:p>
      <w:pPr>
        <w:pStyle w:val="Heading2"/>
        <w:bidi/>
        <w:spacing w:after="100" w:before="220"/>
        <w:jc w:val="right"/>
      </w:pPr>
      <w:r>
        <w:rPr>
          <w:rFonts w:ascii="Arial" w:cs="Arial" w:eastAsia="Arial" w:hAnsi="Arial"/>
          <w:b/>
          <w:bCs/>
          <w:sz w:val="25"/>
          <w:szCs w:val="25"/>
          <w:rtl/>
        </w:rPr>
        <w:t xml:space="preserve">רשימה ד (עמ' 45–52) — היומן על החינוך</w:t>
      </w:r>
    </w:p>
    <w:p>
      <w:pPr>
        <w:bidi/>
        <w:spacing w:after="120" w:line="288"/>
        <w:jc w:val="both"/>
      </w:pPr>
      <w:r>
        <w:rPr>
          <w:rFonts w:ascii="Arial" w:cs="Arial" w:eastAsia="Arial" w:hAnsi="Arial"/>
          <w:b/>
          <w:bCs/>
          <w:sz w:val="22"/>
          <w:szCs w:val="22"/>
          <w:rtl/>
        </w:rPr>
        <w:t xml:space="preserve">הקטע ששלחת. </w:t>
      </w:r>
      <w:r>
        <w:rPr>
          <w:rFonts w:ascii="Arial" w:cs="Arial" w:eastAsia="Arial" w:hAnsi="Arial"/>
          <w:b w:val="false"/>
          <w:bCs w:val="false"/>
          <w:sz w:val="22"/>
          <w:szCs w:val="22"/>
          <w:rtl/>
        </w:rPr>
        <w:t xml:space="preserve">אלה קטעים מיומנו של הרבי [הריי"צ] מקיץ תרנ"ח בבאליווקא. אביו הרש"ב עורך "ועידה" (כנס) על התלמידים בזעמבין ובליובאוויטש: מצבם בלימוד נגלה וחסידות, הנהגתם, והחשבון הכספי של הישיבה (חסר בקופה, חובות לבעלי אכסניות). הרש"ב מוסר לבנו כתבי הדרכה שכתב עשר שנים קודם (תרמ"ח) לעריכה ל"פרק בהנהגה", וכשמעיין אומר: "עס פעלן די שטריקלעך" (חסרים החוטים המקשרים) — "אבל כמו שהוא, זה כבר מאמר". </w:t>
      </w:r>
      <w:r>
        <w:rPr>
          <w:rFonts w:ascii="Arial" w:cs="Arial" w:eastAsia="Arial" w:hAnsi="Arial"/>
          <w:b/>
          <w:bCs/>
          <w:sz w:val="22"/>
          <w:szCs w:val="22"/>
          <w:rtl/>
        </w:rPr>
        <w:t xml:space="preserve">זו אינה אגדת צדיקים אלא יומן אישי</w:t>
      </w:r>
      <w:r>
        <w:rPr>
          <w:rFonts w:ascii="Arial" w:cs="Arial" w:eastAsia="Arial" w:hAnsi="Arial"/>
          <w:b w:val="false"/>
          <w:bCs w:val="false"/>
          <w:sz w:val="22"/>
          <w:szCs w:val="22"/>
          <w:rtl/>
        </w:rPr>
        <w:t xml:space="preserve"> המתעד כיצד נולד המאמר על החינוך.</w:t>
      </w:r>
    </w:p>
    <w:p>
      <w:pPr>
        <w:pStyle w:val="Heading2"/>
        <w:bidi/>
        <w:spacing w:after="100" w:before="220"/>
        <w:jc w:val="right"/>
      </w:pPr>
      <w:r>
        <w:rPr>
          <w:rFonts w:ascii="Arial" w:cs="Arial" w:eastAsia="Arial" w:hAnsi="Arial"/>
          <w:b/>
          <w:bCs/>
          <w:sz w:val="25"/>
          <w:szCs w:val="25"/>
          <w:rtl/>
        </w:rPr>
        <w:t xml:space="preserve">מאמר כללי החינוך וההדרכה (עמ' 53)</w:t>
      </w:r>
    </w:p>
    <w:p>
      <w:pPr>
        <w:bidi/>
        <w:spacing w:after="120" w:line="288"/>
        <w:jc w:val="both"/>
      </w:pPr>
      <w:r>
        <w:rPr>
          <w:rFonts w:ascii="Arial" w:cs="Arial" w:eastAsia="Arial" w:hAnsi="Arial"/>
          <w:b w:val="false"/>
          <w:bCs w:val="false"/>
          <w:sz w:val="22"/>
          <w:szCs w:val="22"/>
          <w:rtl/>
        </w:rPr>
        <w:t xml:space="preserve">מאמר שיטתי בי"ז פרקים. החינוך וההדרכה = "תורה שלמה בהלכות מרובות". המחנך חייב תחילה לבקר את עצמו; להכיר את מהות המחונך ומצבו; ד' חלוקות בבני אדם (יושבי אהל / בעלי עסקים; עשירים / עניים; לפי הרגילות; לפי מקום המושב); ידיעת ה"נאה" וה"מגונה"; התבוננות בבחירת דרכי החינוך; שבח ותוכחה, שכר ועונש.</w:t>
      </w:r>
    </w:p>
    <w:p>
      <w:pPr>
        <w:pStyle w:val="Heading2"/>
        <w:bidi/>
        <w:spacing w:after="100" w:before="220"/>
        <w:jc w:val="right"/>
      </w:pPr>
      <w:r>
        <w:rPr>
          <w:rFonts w:ascii="Arial" w:cs="Arial" w:eastAsia="Arial" w:hAnsi="Arial"/>
          <w:b/>
          <w:bCs/>
          <w:sz w:val="25"/>
          <w:szCs w:val="25"/>
          <w:rtl/>
        </w:rPr>
        <w:t xml:space="preserve">מאמר הפתיחה (עמ' 71)</w:t>
      </w:r>
    </w:p>
    <w:p>
      <w:pPr>
        <w:bidi/>
        <w:spacing w:after="120" w:line="288"/>
        <w:jc w:val="both"/>
      </w:pPr>
      <w:r>
        <w:rPr>
          <w:rFonts w:ascii="Arial" w:cs="Arial" w:eastAsia="Arial" w:hAnsi="Arial"/>
          <w:b w:val="false"/>
          <w:bCs w:val="false"/>
          <w:sz w:val="22"/>
          <w:szCs w:val="22"/>
          <w:rtl/>
        </w:rPr>
        <w:t xml:space="preserve">"גוט יום טוב". ח"י אלול היום הזך והבהיר שבו האיר ה' את העולם בשני המאורות. ירידת הנשמה (ירידה צורך עלייה). היצר הרע כ"אומן" (אמן/מחנך): "חול' זה יצר הרע". קריאה לדבר "דיבורים ברורים" על טהרת המשפחה ועל חינוך כשר, ואזהרה חריפה נגד בתי הספר ה"טריפה".</w:t>
      </w:r>
    </w:p>
    <w:p>
      <w:pPr>
        <w:pStyle w:val="Heading2"/>
        <w:bidi/>
        <w:spacing w:after="100" w:before="220"/>
        <w:jc w:val="right"/>
      </w:pPr>
      <w:r>
        <w:rPr>
          <w:rFonts w:ascii="Arial" w:cs="Arial" w:eastAsia="Arial" w:hAnsi="Arial"/>
          <w:b/>
          <w:bCs/>
          <w:sz w:val="25"/>
          <w:szCs w:val="25"/>
          <w:rtl/>
        </w:rPr>
        <w:t xml:space="preserve">מאמר הסגירה (עמ' 78)</w:t>
      </w:r>
    </w:p>
    <w:p>
      <w:pPr>
        <w:bidi/>
        <w:spacing w:after="120" w:line="288"/>
        <w:jc w:val="both"/>
      </w:pPr>
      <w:r>
        <w:rPr>
          <w:rFonts w:ascii="Arial" w:cs="Arial" w:eastAsia="Arial" w:hAnsi="Arial"/>
          <w:b w:val="false"/>
          <w:bCs w:val="false"/>
          <w:sz w:val="22"/>
          <w:szCs w:val="22"/>
          <w:rtl/>
        </w:rPr>
        <w:t xml:space="preserve">"שמחת בית השואבה". ח"י אלול כ"שאיבת רוח הקודש". תשובה, ביאת המשיח, חבלי משיח. ניגון "ארבע בבות" של רבינו הזקן. אהבת ישראל, ותפילין לחיילים בחזית ("כל המניח תפילין מאריך ימים").</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2026-08-31T02:10:03.467Z</dcterms:created>
  <dcterms:modified xsi:type="dcterms:W3CDTF">2026-08-31T02:10:03.467Z</dcterms:modified>
</cp:coreProperties>
</file>

<file path=docProps/custom.xml><?xml version="1.0" encoding="utf-8"?>
<Properties xmlns="http://schemas.openxmlformats.org/officeDocument/2006/custom-properties" xmlns:vt="http://schemas.openxmlformats.org/officeDocument/2006/docPropsVTypes"/>
</file>