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bidi/>
        <w:spacing w:after="80"/>
        <w:jc w:val="center"/>
      </w:pPr>
      <w:r>
        <w:rPr>
          <w:rFonts w:ascii="Arial" w:cs="Arial" w:eastAsia="Arial" w:hAnsi="Arial"/>
          <w:b/>
          <w:bCs/>
          <w:sz w:val="34"/>
          <w:szCs w:val="34"/>
          <w:rtl/>
        </w:rPr>
        <w:t xml:space="preserve">מהו השער החמישים</w:t>
      </w:r>
    </w:p>
    <w:p>
      <w:pPr>
        <w:bidi/>
        <w:spacing w:after="200"/>
        <w:jc w:val="center"/>
      </w:pPr>
      <w:r>
        <w:rPr>
          <w:rFonts w:ascii="Arial" w:cs="Arial" w:eastAsia="Arial" w:hAnsi="Arial"/>
          <w:i/>
          <w:iCs/>
          <w:sz w:val="22"/>
          <w:szCs w:val="22"/>
          <w:rtl/>
        </w:rPr>
        <w:t xml:space="preserve">מתוך מאמר "חמשים שערי בינה" · קונטרס ח"י אלול ה’תש"ג · אדמו"ר הריי"צ · עמ’ 7</w:t>
      </w:r>
    </w:p>
    <w:p>
      <w:pPr>
        <w:pStyle w:val="Heading1"/>
        <w:bidi/>
        <w:spacing w:after="120" w:before="220"/>
        <w:jc w:val="right"/>
      </w:pPr>
      <w:r>
        <w:rPr>
          <w:rFonts w:ascii="Arial" w:cs="Arial" w:eastAsia="Arial" w:hAnsi="Arial"/>
          <w:b/>
          <w:bCs/>
          <w:sz w:val="30"/>
          <w:szCs w:val="30"/>
          <w:rtl/>
        </w:rPr>
        <w:t xml:space="preserve">איזה מאמר?</w:t>
      </w:r>
    </w:p>
    <w:p>
      <w:pPr>
        <w:bidi/>
        <w:spacing w:after="130" w:line="300"/>
        <w:jc w:val="both"/>
      </w:pPr>
      <w:r>
        <w:rPr>
          <w:rFonts w:ascii="Arial" w:cs="Arial" w:eastAsia="Arial" w:hAnsi="Arial"/>
          <w:b w:val="false"/>
          <w:bCs w:val="false"/>
          <w:i w:val="false"/>
          <w:iCs w:val="false"/>
          <w:sz w:val="24"/>
          <w:szCs w:val="24"/>
          <w:rtl/>
        </w:rPr>
        <w:t xml:space="preserve">הרבי [אדמו"ר הריי"צ] אומר את המאמר </w:t>
      </w:r>
      <w:r>
        <w:rPr>
          <w:rFonts w:ascii="Arial" w:cs="Arial" w:eastAsia="Arial" w:hAnsi="Arial"/>
          <w:b/>
          <w:bCs/>
          <w:i w:val="false"/>
          <w:iCs w:val="false"/>
          <w:sz w:val="24"/>
          <w:szCs w:val="24"/>
          <w:rtl/>
        </w:rPr>
        <w:t xml:space="preserve">"חמשים שערי בינה"</w:t>
      </w:r>
      <w:r>
        <w:rPr>
          <w:rFonts w:ascii="Arial" w:cs="Arial" w:eastAsia="Arial" w:hAnsi="Arial"/>
          <w:b w:val="false"/>
          <w:bCs w:val="false"/>
          <w:i w:val="false"/>
          <w:iCs w:val="false"/>
          <w:sz w:val="24"/>
          <w:szCs w:val="24"/>
          <w:rtl/>
        </w:rPr>
        <w:t xml:space="preserve"> בקונטרס ח"י אלול ה’תש"ג — הוא המאמר שבקובץ ה־PDF שלך (עמ’ 7). המאמר נפתח בגמרא (ראש השנה כ"א ע"ב): "חמשים שערי בינה נבראו בעולם וכולם ניתנו למשה חסר אחד".</w:t>
      </w:r>
    </w:p>
    <w:p>
      <w:pPr>
        <w:pStyle w:val="Heading1"/>
        <w:bidi/>
        <w:spacing w:after="120" w:before="220"/>
        <w:jc w:val="right"/>
      </w:pPr>
      <w:r>
        <w:rPr>
          <w:rFonts w:ascii="Arial" w:cs="Arial" w:eastAsia="Arial" w:hAnsi="Arial"/>
          <w:b/>
          <w:bCs/>
          <w:sz w:val="30"/>
          <w:szCs w:val="30"/>
          <w:rtl/>
        </w:rPr>
        <w:t xml:space="preserve">דברי הרבי על השער החמישים (שער הנו"ן)</w:t>
      </w:r>
    </w:p>
    <w:p>
      <w:pPr>
        <w:bidi/>
        <w:spacing w:after="130" w:line="300"/>
        <w:jc w:val="both"/>
      </w:pPr>
      <w:r>
        <w:rPr>
          <w:rFonts w:ascii="Arial" w:cs="Arial" w:eastAsia="Arial" w:hAnsi="Arial"/>
          <w:b/>
          <w:bCs/>
          <w:i w:val="false"/>
          <w:iCs w:val="false"/>
          <w:sz w:val="24"/>
          <w:szCs w:val="24"/>
          <w:rtl/>
        </w:rPr>
        <w:t xml:space="preserve">מטר וטל. </w:t>
      </w:r>
      <w:r>
        <w:rPr>
          <w:rFonts w:ascii="Arial" w:cs="Arial" w:eastAsia="Arial" w:hAnsi="Arial"/>
          <w:b w:val="false"/>
          <w:bCs w:val="false"/>
          <w:i w:val="false"/>
          <w:iCs w:val="false"/>
          <w:sz w:val="24"/>
          <w:szCs w:val="24"/>
          <w:rtl/>
        </w:rPr>
        <w:t xml:space="preserve">מ"ט השערים ושער הנו"ן הם שתי בחינות שבתורה, שנאמר "יַעֲרֹף כַּמָּטָר לִקְחִי תִּזַּל כַּטַּל אִמְרָתִי" (דברים לב,ב). מ"ט השערים הם בחינת מטר — אתערותא דלתתא, יגיעת האדם מלמטה. ושער הנו"ן הוא בחינת טל — </w:t>
      </w:r>
      <w:r>
        <w:rPr>
          <w:rFonts w:ascii="Arial" w:cs="Arial" w:eastAsia="Arial" w:hAnsi="Arial"/>
          <w:b/>
          <w:bCs/>
          <w:i w:val="false"/>
          <w:iCs w:val="false"/>
          <w:sz w:val="24"/>
          <w:szCs w:val="24"/>
          <w:rtl/>
        </w:rPr>
        <w:t xml:space="preserve">מתנה מלמעלה</w:t>
      </w:r>
      <w:r>
        <w:rPr>
          <w:rFonts w:ascii="Arial" w:cs="Arial" w:eastAsia="Arial" w:hAnsi="Arial"/>
          <w:b w:val="false"/>
          <w:bCs w:val="false"/>
          <w:i w:val="false"/>
          <w:iCs w:val="false"/>
          <w:sz w:val="24"/>
          <w:szCs w:val="24"/>
          <w:rtl/>
        </w:rPr>
        <w:t xml:space="preserve">. כי על ידי העבודה במ"ט פנים שבתורה נמשך שער הנו"ן שהוא בחינת מתנה.</w:t>
      </w:r>
    </w:p>
    <w:p>
      <w:pPr>
        <w:bidi/>
        <w:spacing w:after="130" w:line="300"/>
        <w:jc w:val="both"/>
      </w:pPr>
      <w:r>
        <w:rPr>
          <w:rFonts w:ascii="Arial" w:cs="Arial" w:eastAsia="Arial" w:hAnsi="Arial"/>
          <w:b/>
          <w:bCs/>
          <w:i w:val="false"/>
          <w:iCs w:val="false"/>
          <w:sz w:val="24"/>
          <w:szCs w:val="24"/>
          <w:rtl/>
        </w:rPr>
        <w:t xml:space="preserve">"חולה" = מ"ט. </w:t>
      </w:r>
      <w:r>
        <w:rPr>
          <w:rFonts w:ascii="Arial" w:cs="Arial" w:eastAsia="Arial" w:hAnsi="Arial"/>
          <w:b w:val="false"/>
          <w:bCs w:val="false"/>
          <w:i w:val="false"/>
          <w:iCs w:val="false"/>
          <w:sz w:val="24"/>
          <w:szCs w:val="24"/>
          <w:rtl/>
        </w:rPr>
        <w:t xml:space="preserve">מי שאינו עוסק בתורה נעשה "חולה" — שגימטרייתו ארבעים ותשע — לפי שחסר לו השער החמישים.</w:t>
      </w:r>
    </w:p>
    <w:p>
      <w:pPr>
        <w:bidi/>
        <w:spacing w:after="130" w:line="300"/>
        <w:jc w:val="both"/>
      </w:pPr>
      <w:r>
        <w:rPr>
          <w:rFonts w:ascii="Arial" w:cs="Arial" w:eastAsia="Arial" w:hAnsi="Arial"/>
          <w:b/>
          <w:bCs/>
          <w:i w:val="false"/>
          <w:iCs w:val="false"/>
          <w:sz w:val="24"/>
          <w:szCs w:val="24"/>
          <w:rtl/>
        </w:rPr>
        <w:t xml:space="preserve">מחבר חכמה ובינה. </w:t>
      </w:r>
      <w:r>
        <w:rPr>
          <w:rFonts w:ascii="Arial" w:cs="Arial" w:eastAsia="Arial" w:hAnsi="Arial"/>
          <w:b w:val="false"/>
          <w:bCs w:val="false"/>
          <w:i w:val="false"/>
          <w:iCs w:val="false"/>
          <w:sz w:val="24"/>
          <w:szCs w:val="24"/>
          <w:rtl/>
        </w:rPr>
        <w:t xml:space="preserve">שער הנו"ן הוא המחבר חכמה ובינה: חכמה בחינת ראִיה ("איזהו חכם הרואה את הנולד"), ובינה בחינת שמיעה ("אֹזֶן מִלִּין תִּבְחָן").</w:t>
      </w:r>
    </w:p>
    <w:p>
      <w:pPr>
        <w:pStyle w:val="Heading1"/>
        <w:bidi/>
        <w:spacing w:after="120" w:before="220"/>
        <w:jc w:val="right"/>
      </w:pPr>
      <w:r>
        <w:rPr>
          <w:rFonts w:ascii="Arial" w:cs="Arial" w:eastAsia="Arial" w:hAnsi="Arial"/>
          <w:b/>
          <w:bCs/>
          <w:sz w:val="30"/>
          <w:szCs w:val="30"/>
          <w:rtl/>
        </w:rPr>
        <w:t xml:space="preserve">והשער האחד שחסר</w:t>
      </w:r>
    </w:p>
    <w:p>
      <w:pPr>
        <w:bidi/>
        <w:spacing w:after="130" w:line="300"/>
        <w:jc w:val="both"/>
      </w:pPr>
      <w:r>
        <w:rPr>
          <w:rFonts w:ascii="Arial" w:cs="Arial" w:eastAsia="Arial" w:hAnsi="Arial"/>
          <w:b w:val="false"/>
          <w:bCs w:val="false"/>
          <w:i w:val="false"/>
          <w:iCs w:val="false"/>
          <w:sz w:val="24"/>
          <w:szCs w:val="24"/>
          <w:rtl/>
        </w:rPr>
        <w:t xml:space="preserve">כפי שאמר אביו [אדמו"ר הרש"ב] באותו יום: "אתפשטותא דמשה בכל דרא" — הבעש"ט הוא ה"משה" של הדור עם נ’ שערי בינה, ורבינו הזקן — משה עם תורת חב"ד. "כולם נמסרו למשה חסר אחד" — ואת השער האחד, החמישים, </w:t>
      </w:r>
      <w:r>
        <w:rPr>
          <w:rFonts w:ascii="Arial" w:cs="Arial" w:eastAsia="Arial" w:hAnsi="Arial"/>
          <w:b/>
          <w:bCs/>
          <w:i w:val="false"/>
          <w:iCs w:val="false"/>
          <w:sz w:val="24"/>
          <w:szCs w:val="24"/>
          <w:rtl/>
        </w:rPr>
        <w:t xml:space="preserve">משלימים החסידים עד ביאת המשיח, וזהו "יפוצו מעינותיך חוצה".</w:t>
      </w:r>
    </w:p>
    <w:p>
      <w:pPr>
        <w:pStyle w:val="Heading1"/>
        <w:bidi/>
        <w:spacing w:after="120" w:before="220"/>
        <w:jc w:val="right"/>
      </w:pPr>
      <w:r>
        <w:rPr>
          <w:rFonts w:ascii="Arial" w:cs="Arial" w:eastAsia="Arial" w:hAnsi="Arial"/>
          <w:b/>
          <w:bCs/>
          <w:sz w:val="30"/>
          <w:szCs w:val="30"/>
          <w:rtl/>
        </w:rPr>
        <w:t xml:space="preserve">לשון המקור (עמ’ 7)</w:t>
      </w:r>
    </w:p>
    <w:p>
      <w:pPr>
        <w:bidi/>
        <w:spacing w:after="130" w:line="300"/>
        <w:ind w:left="360" w:right="360"/>
        <w:jc w:val="right"/>
      </w:pPr>
      <w:r>
        <w:rPr>
          <w:rFonts w:ascii="Arial" w:cs="Arial" w:eastAsia="Arial" w:hAnsi="Arial"/>
          <w:b w:val="false"/>
          <w:bCs w:val="false"/>
          <w:i w:val="false"/>
          <w:iCs w:val="false"/>
          <w:sz w:val="24"/>
          <w:szCs w:val="24"/>
          <w:rtl/>
        </w:rPr>
        <w:t xml:space="preserve">"...וע"י המ"ט פנים דתורה ממשיכים בחי’ מ"ט שע"ב, בנו"ן... דמ"ט שע"ב הן באתעדל"ת, ושער הנו"ן הוא בחי’ טל תורה... הנה עי"ז נמשך שער הנו"ן שהוא בחי’ מתנה... ידוע דשער הנו"ן הוא מחבר חו"ב, וחו"ב הם אין ויש, וגם הם ראי’ ושמיעה."</w:t>
      </w:r>
    </w:p>
    <w:sectPr>
      <w:pgSz w:w="11906" w:h="16838" w:orient="portrait"/>
      <w:pgMar w:top="1134" w:right="1134" w:bottom="1134" w:left="1134"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4"/>
        <w:szCs w:val="24"/>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2026-08-31T03:39:36.898Z</dcterms:created>
  <dcterms:modified xsi:type="dcterms:W3CDTF">2026-08-31T03:39:36.899Z</dcterms:modified>
</cp:coreProperties>
</file>

<file path=docProps/custom.xml><?xml version="1.0" encoding="utf-8"?>
<Properties xmlns="http://schemas.openxmlformats.org/officeDocument/2006/custom-properties" xmlns:vt="http://schemas.openxmlformats.org/officeDocument/2006/docPropsVTypes"/>
</file>